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bidiVisual/>
        <w:tblW w:w="8363" w:type="dxa"/>
        <w:tblInd w:w="9" w:type="dxa"/>
        <w:tblLook w:val="0000" w:firstRow="0" w:lastRow="0" w:firstColumn="0" w:lastColumn="0" w:noHBand="0" w:noVBand="0"/>
      </w:tblPr>
      <w:tblGrid>
        <w:gridCol w:w="8363"/>
      </w:tblGrid>
      <w:tr w:rsidR="00036227" w:rsidTr="00397D04">
        <w:tc>
          <w:tcPr>
            <w:tcW w:w="8363" w:type="dxa"/>
          </w:tcPr>
          <w:p w:rsidR="00916FF8" w:rsidRPr="00624A42" w:rsidRDefault="00E03615" w:rsidP="004C7868">
            <w:pPr>
              <w:pStyle w:val="FileNumber0"/>
              <w:rPr>
                <w:sz w:val="28"/>
                <w:u w:val="single"/>
                <w:rtl/>
              </w:rPr>
            </w:pPr>
            <w:bookmarkStart w:id="0" w:name="_GoBack"/>
            <w:bookmarkEnd w:id="0"/>
            <w:r>
              <w:rPr>
                <w:u w:val="single"/>
                <w:rtl/>
              </w:rPr>
              <w:t>בבית המשפט העליון בשבתו כבית משפט לערעורים פליליים</w:t>
            </w:r>
          </w:p>
        </w:tc>
      </w:tr>
    </w:tbl>
    <w:p w:rsidR="00916FF8" w:rsidRDefault="00916FF8">
      <w:pPr>
        <w:jc w:val="right"/>
        <w:rPr>
          <w:rFonts w:cs="Miriam"/>
          <w:b/>
          <w:bCs/>
          <w:u w:val="single"/>
        </w:rPr>
      </w:pPr>
    </w:p>
    <w:tbl>
      <w:tblPr>
        <w:bidiVisual/>
        <w:tblW w:w="8363" w:type="dxa"/>
        <w:tblLook w:val="0000" w:firstRow="0" w:lastRow="0" w:firstColumn="0" w:lastColumn="0" w:noHBand="0" w:noVBand="0"/>
      </w:tblPr>
      <w:tblGrid>
        <w:gridCol w:w="8363"/>
      </w:tblGrid>
      <w:tr w:rsidR="00036227" w:rsidTr="0039709B">
        <w:trPr>
          <w:trHeight w:val="342"/>
        </w:trPr>
        <w:tc>
          <w:tcPr>
            <w:tcW w:w="9828" w:type="dxa"/>
          </w:tcPr>
          <w:p w:rsidR="00916FF8" w:rsidRPr="00810894" w:rsidRDefault="00E03615" w:rsidP="009757FA">
            <w:pPr>
              <w:pStyle w:val="FileNumber"/>
              <w:rPr>
                <w:sz w:val="28"/>
                <w:szCs w:val="28"/>
              </w:rPr>
            </w:pPr>
            <w:bookmarkStart w:id="1" w:name="casename_body"/>
            <w:r>
              <w:rPr>
                <w:sz w:val="28"/>
                <w:szCs w:val="28"/>
                <w:rtl/>
              </w:rPr>
              <w:t>ע"פ 5955/22</w:t>
            </w:r>
          </w:p>
        </w:tc>
      </w:tr>
      <w:bookmarkEnd w:id="1"/>
    </w:tbl>
    <w:p w:rsidR="00916FF8" w:rsidRDefault="00916FF8">
      <w:pPr>
        <w:jc w:val="right"/>
        <w:rPr>
          <w:rFonts w:cs="Miriam"/>
          <w:b/>
          <w:bCs/>
          <w:u w:val="single"/>
        </w:rPr>
      </w:pPr>
    </w:p>
    <w:tbl>
      <w:tblPr>
        <w:bidiVisual/>
        <w:tblW w:w="8364" w:type="dxa"/>
        <w:tblLayout w:type="fixed"/>
        <w:tblLook w:val="0000" w:firstRow="0" w:lastRow="0" w:firstColumn="0" w:lastColumn="0" w:noHBand="0" w:noVBand="0"/>
      </w:tblPr>
      <w:tblGrid>
        <w:gridCol w:w="3210"/>
        <w:gridCol w:w="5154"/>
      </w:tblGrid>
      <w:tr w:rsidR="00036227" w:rsidTr="00EC23AC">
        <w:trPr>
          <w:trHeight w:val="287"/>
        </w:trPr>
        <w:tc>
          <w:tcPr>
            <w:tcW w:w="3261" w:type="dxa"/>
          </w:tcPr>
          <w:p w:rsidR="00036227" w:rsidRDefault="00CB7600">
            <w:pPr>
              <w:pStyle w:val="BodyRuller"/>
              <w:rPr>
                <w:rFonts w:cs="Miriam"/>
                <w:b/>
                <w:bCs/>
                <w:u w:val="single"/>
              </w:rPr>
            </w:pPr>
            <w:r>
              <w:rPr>
                <w:rFonts w:hint="cs"/>
                <w:rtl/>
              </w:rPr>
              <w:t>ל</w:t>
            </w:r>
            <w:r w:rsidR="00036227">
              <w:rPr>
                <w:rtl/>
              </w:rPr>
              <w:t>פני:</w:t>
            </w:r>
            <w:r w:rsidR="00036227">
              <w:rPr>
                <w:rtl/>
              </w:rPr>
              <w:tab/>
            </w:r>
          </w:p>
        </w:tc>
        <w:tc>
          <w:tcPr>
            <w:tcW w:w="5239" w:type="dxa"/>
          </w:tcPr>
          <w:p w:rsidR="00036227" w:rsidRDefault="00E03615">
            <w:pPr>
              <w:pStyle w:val="BodyRuller"/>
            </w:pPr>
            <w:r>
              <w:rPr>
                <w:rtl/>
              </w:rPr>
              <w:t>כבוד השופט י' עמית</w:t>
            </w:r>
          </w:p>
        </w:tc>
      </w:tr>
      <w:tr w:rsidR="00E03615" w:rsidTr="00EC23AC">
        <w:trPr>
          <w:trHeight w:val="287"/>
        </w:trPr>
        <w:tc>
          <w:tcPr>
            <w:tcW w:w="3261" w:type="dxa"/>
          </w:tcPr>
          <w:p w:rsidR="00E03615" w:rsidRDefault="00E03615">
            <w:pPr>
              <w:pStyle w:val="BodyRuller"/>
              <w:rPr>
                <w:rtl/>
              </w:rPr>
            </w:pPr>
          </w:p>
        </w:tc>
        <w:tc>
          <w:tcPr>
            <w:tcW w:w="5239" w:type="dxa"/>
          </w:tcPr>
          <w:p w:rsidR="00E03615" w:rsidRDefault="00E03615">
            <w:pPr>
              <w:pStyle w:val="BodyRuller"/>
              <w:rPr>
                <w:rtl/>
              </w:rPr>
            </w:pPr>
            <w:r>
              <w:rPr>
                <w:rtl/>
              </w:rPr>
              <w:t>כבוד השופט ד' מינץ</w:t>
            </w:r>
          </w:p>
        </w:tc>
      </w:tr>
      <w:tr w:rsidR="00E03615" w:rsidTr="00EC23AC">
        <w:trPr>
          <w:trHeight w:val="287"/>
        </w:trPr>
        <w:tc>
          <w:tcPr>
            <w:tcW w:w="3261" w:type="dxa"/>
          </w:tcPr>
          <w:p w:rsidR="00E03615" w:rsidRDefault="00E03615">
            <w:pPr>
              <w:pStyle w:val="BodyRuller"/>
              <w:rPr>
                <w:rtl/>
              </w:rPr>
            </w:pPr>
          </w:p>
        </w:tc>
        <w:tc>
          <w:tcPr>
            <w:tcW w:w="5239" w:type="dxa"/>
          </w:tcPr>
          <w:p w:rsidR="00E03615" w:rsidRDefault="00E03615">
            <w:pPr>
              <w:pStyle w:val="BodyRuller"/>
              <w:rPr>
                <w:rtl/>
              </w:rPr>
            </w:pPr>
            <w:r>
              <w:rPr>
                <w:rtl/>
              </w:rPr>
              <w:t>כבוד השופטת י' וילנר</w:t>
            </w:r>
          </w:p>
        </w:tc>
      </w:tr>
    </w:tbl>
    <w:p w:rsidR="00916FF8" w:rsidRPr="00BE326D" w:rsidRDefault="00916FF8">
      <w:pPr>
        <w:pStyle w:val="Ruller3"/>
        <w:rPr>
          <w:rFonts w:cs="Miriam"/>
          <w:b/>
          <w:bCs/>
          <w:sz w:val="18"/>
          <w:szCs w:val="22"/>
          <w:u w:val="single"/>
          <w:rtl/>
        </w:rPr>
      </w:pPr>
    </w:p>
    <w:tbl>
      <w:tblPr>
        <w:bidiVisual/>
        <w:tblW w:w="8364" w:type="dxa"/>
        <w:tblLayout w:type="fixed"/>
        <w:tblLook w:val="0000" w:firstRow="0" w:lastRow="0" w:firstColumn="0" w:lastColumn="0" w:noHBand="0" w:noVBand="0"/>
      </w:tblPr>
      <w:tblGrid>
        <w:gridCol w:w="3210"/>
        <w:gridCol w:w="5154"/>
      </w:tblGrid>
      <w:tr w:rsidR="00D00CB7" w:rsidTr="00DD6306">
        <w:trPr>
          <w:trHeight w:val="287"/>
        </w:trPr>
        <w:tc>
          <w:tcPr>
            <w:tcW w:w="3261" w:type="dxa"/>
          </w:tcPr>
          <w:p w:rsidR="00D00CB7" w:rsidRPr="00E75223" w:rsidRDefault="00E03615" w:rsidP="00DD6306">
            <w:pPr>
              <w:pStyle w:val="BodyRuller"/>
              <w:rPr>
                <w:rFonts w:ascii="David" w:hAnsi="David"/>
              </w:rPr>
            </w:pPr>
            <w:r>
              <w:rPr>
                <w:rFonts w:ascii="David" w:hAnsi="David"/>
                <w:rtl/>
              </w:rPr>
              <w:t>המערער</w:t>
            </w:r>
            <w:r w:rsidR="009757FA">
              <w:rPr>
                <w:rFonts w:ascii="David" w:hAnsi="David" w:hint="cs"/>
                <w:rtl/>
              </w:rPr>
              <w:t>ת</w:t>
            </w:r>
            <w:r>
              <w:rPr>
                <w:rFonts w:ascii="David" w:hAnsi="David"/>
                <w:rtl/>
              </w:rPr>
              <w:t>:</w:t>
            </w:r>
          </w:p>
        </w:tc>
        <w:tc>
          <w:tcPr>
            <w:tcW w:w="5239" w:type="dxa"/>
          </w:tcPr>
          <w:p w:rsidR="00D00CB7" w:rsidRDefault="00E03615" w:rsidP="00DD6306">
            <w:pPr>
              <w:pStyle w:val="BodyRuller"/>
            </w:pPr>
            <w:r>
              <w:rPr>
                <w:rtl/>
              </w:rPr>
              <w:t>מדינת ישראל</w:t>
            </w:r>
          </w:p>
        </w:tc>
      </w:tr>
    </w:tbl>
    <w:p w:rsidR="00D00CB7" w:rsidRPr="00BE326D" w:rsidRDefault="00D00CB7">
      <w:pPr>
        <w:pStyle w:val="Ruller3"/>
        <w:rPr>
          <w:sz w:val="14"/>
          <w:szCs w:val="18"/>
        </w:rPr>
      </w:pPr>
    </w:p>
    <w:tbl>
      <w:tblPr>
        <w:bidiVisual/>
        <w:tblW w:w="8363" w:type="dxa"/>
        <w:tblLook w:val="0000" w:firstRow="0" w:lastRow="0" w:firstColumn="0" w:lastColumn="0" w:noHBand="0" w:noVBand="0"/>
      </w:tblPr>
      <w:tblGrid>
        <w:gridCol w:w="3222"/>
        <w:gridCol w:w="5141"/>
      </w:tblGrid>
      <w:tr w:rsidR="00036227" w:rsidTr="0039709B">
        <w:tc>
          <w:tcPr>
            <w:tcW w:w="3284" w:type="dxa"/>
          </w:tcPr>
          <w:p w:rsidR="00036227" w:rsidRDefault="00036227">
            <w:pPr>
              <w:pStyle w:val="BodyRuller"/>
            </w:pPr>
          </w:p>
        </w:tc>
        <w:tc>
          <w:tcPr>
            <w:tcW w:w="5238" w:type="dxa"/>
          </w:tcPr>
          <w:p w:rsidR="00036227" w:rsidRDefault="00036227">
            <w:pPr>
              <w:pStyle w:val="BodyRuller"/>
            </w:pPr>
            <w:r>
              <w:rPr>
                <w:rFonts w:hint="cs"/>
                <w:rtl/>
              </w:rPr>
              <w:t>נ</w:t>
            </w:r>
            <w:r>
              <w:t xml:space="preserve">  </w:t>
            </w:r>
            <w:r>
              <w:rPr>
                <w:rFonts w:hint="cs"/>
                <w:rtl/>
              </w:rPr>
              <w:t>ג</w:t>
            </w:r>
            <w:r>
              <w:t xml:space="preserve">  </w:t>
            </w:r>
            <w:r>
              <w:rPr>
                <w:rFonts w:hint="cs"/>
                <w:rtl/>
              </w:rPr>
              <w:t>ד</w:t>
            </w:r>
          </w:p>
        </w:tc>
      </w:tr>
    </w:tbl>
    <w:p w:rsidR="00916FF8" w:rsidRPr="00397D04" w:rsidRDefault="00916FF8">
      <w:pPr>
        <w:pStyle w:val="Ruller3"/>
        <w:rPr>
          <w:sz w:val="18"/>
          <w:szCs w:val="22"/>
          <w:rtl/>
        </w:rPr>
      </w:pPr>
    </w:p>
    <w:tbl>
      <w:tblPr>
        <w:bidiVisual/>
        <w:tblW w:w="8364" w:type="dxa"/>
        <w:tblLayout w:type="fixed"/>
        <w:tblLook w:val="0000" w:firstRow="0" w:lastRow="0" w:firstColumn="0" w:lastColumn="0" w:noHBand="0" w:noVBand="0"/>
      </w:tblPr>
      <w:tblGrid>
        <w:gridCol w:w="3210"/>
        <w:gridCol w:w="5154"/>
      </w:tblGrid>
      <w:tr w:rsidR="0083345F" w:rsidTr="00DD6306">
        <w:trPr>
          <w:trHeight w:val="287"/>
        </w:trPr>
        <w:tc>
          <w:tcPr>
            <w:tcW w:w="3261" w:type="dxa"/>
          </w:tcPr>
          <w:p w:rsidR="0083345F" w:rsidRPr="00E75223" w:rsidRDefault="00E03615" w:rsidP="00DD6306">
            <w:pPr>
              <w:pStyle w:val="BodyRuller"/>
              <w:rPr>
                <w:rFonts w:ascii="David" w:hAnsi="David"/>
              </w:rPr>
            </w:pPr>
            <w:r>
              <w:rPr>
                <w:rFonts w:ascii="David" w:hAnsi="David"/>
                <w:rtl/>
              </w:rPr>
              <w:t>המשיבים:</w:t>
            </w:r>
          </w:p>
        </w:tc>
        <w:tc>
          <w:tcPr>
            <w:tcW w:w="5239" w:type="dxa"/>
          </w:tcPr>
          <w:p w:rsidR="0083345F" w:rsidRDefault="00E03615" w:rsidP="00DD6306">
            <w:pPr>
              <w:pStyle w:val="BodyRuller"/>
            </w:pPr>
            <w:r>
              <w:rPr>
                <w:rtl/>
              </w:rPr>
              <w:t xml:space="preserve">1. שאול </w:t>
            </w:r>
            <w:proofErr w:type="spellStart"/>
            <w:r>
              <w:rPr>
                <w:rtl/>
              </w:rPr>
              <w:t>אלוביץ</w:t>
            </w:r>
            <w:proofErr w:type="spellEnd"/>
            <w:r>
              <w:rPr>
                <w:rtl/>
              </w:rPr>
              <w:t>'</w:t>
            </w:r>
          </w:p>
        </w:tc>
      </w:tr>
      <w:tr w:rsidR="00E03615" w:rsidTr="00DD6306">
        <w:trPr>
          <w:trHeight w:val="287"/>
        </w:trPr>
        <w:tc>
          <w:tcPr>
            <w:tcW w:w="3261" w:type="dxa"/>
          </w:tcPr>
          <w:p w:rsidR="00E03615" w:rsidRDefault="00E03615" w:rsidP="00DD6306">
            <w:pPr>
              <w:pStyle w:val="BodyRuller"/>
              <w:rPr>
                <w:rFonts w:ascii="David" w:hAnsi="David"/>
                <w:rtl/>
              </w:rPr>
            </w:pPr>
          </w:p>
        </w:tc>
        <w:tc>
          <w:tcPr>
            <w:tcW w:w="5239" w:type="dxa"/>
          </w:tcPr>
          <w:p w:rsidR="00E03615" w:rsidRDefault="00E03615" w:rsidP="00DD6306">
            <w:pPr>
              <w:pStyle w:val="BodyRuller"/>
              <w:rPr>
                <w:rtl/>
              </w:rPr>
            </w:pPr>
            <w:r>
              <w:rPr>
                <w:rtl/>
              </w:rPr>
              <w:t xml:space="preserve">2. אור </w:t>
            </w:r>
            <w:proofErr w:type="spellStart"/>
            <w:r>
              <w:rPr>
                <w:rtl/>
              </w:rPr>
              <w:t>אלוביץ</w:t>
            </w:r>
            <w:proofErr w:type="spellEnd"/>
            <w:r>
              <w:rPr>
                <w:rtl/>
              </w:rPr>
              <w:t>'</w:t>
            </w:r>
          </w:p>
        </w:tc>
      </w:tr>
      <w:tr w:rsidR="00E03615" w:rsidTr="00DD6306">
        <w:trPr>
          <w:trHeight w:val="287"/>
        </w:trPr>
        <w:tc>
          <w:tcPr>
            <w:tcW w:w="3261" w:type="dxa"/>
          </w:tcPr>
          <w:p w:rsidR="00E03615" w:rsidRDefault="00E03615" w:rsidP="00DD6306">
            <w:pPr>
              <w:pStyle w:val="BodyRuller"/>
              <w:rPr>
                <w:rFonts w:ascii="David" w:hAnsi="David"/>
                <w:rtl/>
              </w:rPr>
            </w:pPr>
          </w:p>
        </w:tc>
        <w:tc>
          <w:tcPr>
            <w:tcW w:w="5239" w:type="dxa"/>
          </w:tcPr>
          <w:p w:rsidR="00E03615" w:rsidRDefault="00E03615" w:rsidP="00DD6306">
            <w:pPr>
              <w:pStyle w:val="BodyRuller"/>
              <w:rPr>
                <w:rtl/>
              </w:rPr>
            </w:pPr>
            <w:r>
              <w:rPr>
                <w:rtl/>
              </w:rPr>
              <w:t>3. עמיקם שורר</w:t>
            </w:r>
          </w:p>
        </w:tc>
      </w:tr>
      <w:tr w:rsidR="00E03615" w:rsidTr="00DD6306">
        <w:trPr>
          <w:trHeight w:val="287"/>
        </w:trPr>
        <w:tc>
          <w:tcPr>
            <w:tcW w:w="3261" w:type="dxa"/>
          </w:tcPr>
          <w:p w:rsidR="00E03615" w:rsidRDefault="00E03615" w:rsidP="00DD6306">
            <w:pPr>
              <w:pStyle w:val="BodyRuller"/>
              <w:rPr>
                <w:rFonts w:ascii="David" w:hAnsi="David"/>
                <w:rtl/>
              </w:rPr>
            </w:pPr>
          </w:p>
        </w:tc>
        <w:tc>
          <w:tcPr>
            <w:tcW w:w="5239" w:type="dxa"/>
          </w:tcPr>
          <w:p w:rsidR="00E03615" w:rsidRDefault="00E03615" w:rsidP="00DD6306">
            <w:pPr>
              <w:pStyle w:val="BodyRuller"/>
              <w:rPr>
                <w:rtl/>
              </w:rPr>
            </w:pPr>
            <w:r>
              <w:rPr>
                <w:rtl/>
              </w:rPr>
              <w:t xml:space="preserve">4. לינור </w:t>
            </w:r>
            <w:proofErr w:type="spellStart"/>
            <w:r>
              <w:rPr>
                <w:rtl/>
              </w:rPr>
              <w:t>יוכלמן</w:t>
            </w:r>
            <w:proofErr w:type="spellEnd"/>
          </w:p>
        </w:tc>
      </w:tr>
      <w:tr w:rsidR="00E03615" w:rsidTr="00DD6306">
        <w:trPr>
          <w:trHeight w:val="287"/>
        </w:trPr>
        <w:tc>
          <w:tcPr>
            <w:tcW w:w="3261" w:type="dxa"/>
          </w:tcPr>
          <w:p w:rsidR="00E03615" w:rsidRDefault="00E03615" w:rsidP="00DD6306">
            <w:pPr>
              <w:pStyle w:val="BodyRuller"/>
              <w:rPr>
                <w:rFonts w:ascii="David" w:hAnsi="David"/>
                <w:rtl/>
              </w:rPr>
            </w:pPr>
          </w:p>
        </w:tc>
        <w:tc>
          <w:tcPr>
            <w:tcW w:w="5239" w:type="dxa"/>
          </w:tcPr>
          <w:p w:rsidR="00E03615" w:rsidRDefault="00E03615" w:rsidP="00DD6306">
            <w:pPr>
              <w:pStyle w:val="BodyRuller"/>
              <w:rPr>
                <w:rtl/>
              </w:rPr>
            </w:pPr>
            <w:r>
              <w:rPr>
                <w:rtl/>
              </w:rPr>
              <w:t xml:space="preserve">5. יורוקום </w:t>
            </w:r>
            <w:proofErr w:type="spellStart"/>
            <w:r>
              <w:rPr>
                <w:rtl/>
              </w:rPr>
              <w:t>די.בי.אס</w:t>
            </w:r>
            <w:proofErr w:type="spellEnd"/>
            <w:r>
              <w:rPr>
                <w:rtl/>
              </w:rPr>
              <w:t xml:space="preserve"> בע"מ</w:t>
            </w:r>
          </w:p>
        </w:tc>
      </w:tr>
      <w:tr w:rsidR="00E03615" w:rsidTr="00DD6306">
        <w:trPr>
          <w:trHeight w:val="287"/>
        </w:trPr>
        <w:tc>
          <w:tcPr>
            <w:tcW w:w="3261" w:type="dxa"/>
          </w:tcPr>
          <w:p w:rsidR="00E03615" w:rsidRDefault="00E03615" w:rsidP="00DD6306">
            <w:pPr>
              <w:pStyle w:val="BodyRuller"/>
              <w:rPr>
                <w:rFonts w:ascii="David" w:hAnsi="David"/>
                <w:rtl/>
              </w:rPr>
            </w:pPr>
          </w:p>
        </w:tc>
        <w:tc>
          <w:tcPr>
            <w:tcW w:w="5239" w:type="dxa"/>
          </w:tcPr>
          <w:p w:rsidR="00E03615" w:rsidRDefault="00E03615" w:rsidP="00DD6306">
            <w:pPr>
              <w:pStyle w:val="BodyRuller"/>
              <w:rPr>
                <w:rtl/>
              </w:rPr>
            </w:pPr>
            <w:r>
              <w:rPr>
                <w:rtl/>
              </w:rPr>
              <w:t xml:space="preserve">6. יורוקום </w:t>
            </w:r>
            <w:proofErr w:type="spellStart"/>
            <w:r>
              <w:rPr>
                <w:rtl/>
              </w:rPr>
              <w:t>נטוורקס</w:t>
            </w:r>
            <w:proofErr w:type="spellEnd"/>
            <w:r>
              <w:rPr>
                <w:rtl/>
              </w:rPr>
              <w:t xml:space="preserve"> וטכנולוגיות בע"מ</w:t>
            </w:r>
          </w:p>
        </w:tc>
      </w:tr>
      <w:tr w:rsidR="00E03615" w:rsidTr="00DD6306">
        <w:trPr>
          <w:trHeight w:val="287"/>
        </w:trPr>
        <w:tc>
          <w:tcPr>
            <w:tcW w:w="3261" w:type="dxa"/>
          </w:tcPr>
          <w:p w:rsidR="00E03615" w:rsidRDefault="00E03615" w:rsidP="00DD6306">
            <w:pPr>
              <w:pStyle w:val="BodyRuller"/>
              <w:rPr>
                <w:rFonts w:ascii="David" w:hAnsi="David"/>
                <w:rtl/>
              </w:rPr>
            </w:pPr>
          </w:p>
        </w:tc>
        <w:tc>
          <w:tcPr>
            <w:tcW w:w="5239" w:type="dxa"/>
          </w:tcPr>
          <w:p w:rsidR="00E03615" w:rsidRDefault="00E03615" w:rsidP="00DD6306">
            <w:pPr>
              <w:pStyle w:val="BodyRuller"/>
              <w:rPr>
                <w:rtl/>
              </w:rPr>
            </w:pPr>
            <w:r>
              <w:rPr>
                <w:rtl/>
              </w:rPr>
              <w:t>7. יורוקום אחזקות (1979) בע"מ</w:t>
            </w:r>
          </w:p>
        </w:tc>
      </w:tr>
    </w:tbl>
    <w:p w:rsidR="0083345F" w:rsidRPr="00356D3D" w:rsidRDefault="0083345F">
      <w:pPr>
        <w:pStyle w:val="Ruller3"/>
        <w:rPr>
          <w:sz w:val="18"/>
          <w:szCs w:val="22"/>
        </w:rPr>
      </w:pPr>
    </w:p>
    <w:tbl>
      <w:tblPr>
        <w:bidiVisual/>
        <w:tblW w:w="0" w:type="auto"/>
        <w:tblInd w:w="3209" w:type="dxa"/>
        <w:tblLook w:val="0000" w:firstRow="0" w:lastRow="0" w:firstColumn="0" w:lastColumn="0" w:noHBand="0" w:noVBand="0"/>
      </w:tblPr>
      <w:tblGrid>
        <w:gridCol w:w="5103"/>
      </w:tblGrid>
      <w:tr w:rsidR="00036227" w:rsidTr="00CA1444">
        <w:tc>
          <w:tcPr>
            <w:tcW w:w="5103" w:type="dxa"/>
          </w:tcPr>
          <w:p w:rsidR="00916FF8" w:rsidRPr="00265F6E" w:rsidRDefault="009757FA" w:rsidP="009757FA">
            <w:pPr>
              <w:pStyle w:val="BodyRuller"/>
              <w:jc w:val="both"/>
              <w:rPr>
                <w:sz w:val="24"/>
                <w:szCs w:val="24"/>
              </w:rPr>
            </w:pPr>
            <w:r w:rsidRPr="009757FA">
              <w:rPr>
                <w:sz w:val="24"/>
                <w:szCs w:val="24"/>
                <w:rtl/>
              </w:rPr>
              <w:t xml:space="preserve">ערעור על החלטת בית המשפט המחוזי בתל אביב-יפו (השופטת מ' אגמון-גונן) </w:t>
            </w:r>
            <w:proofErr w:type="spellStart"/>
            <w:r w:rsidRPr="009757FA">
              <w:rPr>
                <w:sz w:val="24"/>
                <w:szCs w:val="24"/>
                <w:rtl/>
              </w:rPr>
              <w:t>בת"פ</w:t>
            </w:r>
            <w:proofErr w:type="spellEnd"/>
            <w:r w:rsidRPr="009757FA">
              <w:rPr>
                <w:sz w:val="24"/>
                <w:szCs w:val="24"/>
                <w:rtl/>
              </w:rPr>
              <w:t xml:space="preserve"> 51538-12-20 מיום 20.7.2022</w:t>
            </w:r>
          </w:p>
        </w:tc>
      </w:tr>
    </w:tbl>
    <w:p w:rsidR="00916FF8" w:rsidRPr="00356D3D" w:rsidRDefault="00916FF8">
      <w:pPr>
        <w:pStyle w:val="Ruller3"/>
        <w:rPr>
          <w:sz w:val="18"/>
          <w:szCs w:val="22"/>
          <w:rtl/>
        </w:rPr>
      </w:pPr>
    </w:p>
    <w:tbl>
      <w:tblPr>
        <w:bidiVisual/>
        <w:tblW w:w="83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30"/>
        <w:gridCol w:w="2423"/>
        <w:gridCol w:w="2710"/>
      </w:tblGrid>
      <w:tr w:rsidR="008C2F11" w:rsidTr="00D00B1D">
        <w:tc>
          <w:tcPr>
            <w:tcW w:w="3212" w:type="dxa"/>
            <w:tcBorders>
              <w:top w:val="nil"/>
              <w:left w:val="nil"/>
              <w:bottom w:val="nil"/>
              <w:right w:val="nil"/>
            </w:tcBorders>
          </w:tcPr>
          <w:p w:rsidR="008C2F11" w:rsidRPr="00265F6E" w:rsidRDefault="008C2F11">
            <w:pPr>
              <w:pStyle w:val="BodyRuller"/>
              <w:rPr>
                <w:sz w:val="24"/>
                <w:szCs w:val="24"/>
              </w:rPr>
            </w:pPr>
            <w:r w:rsidRPr="00265F6E">
              <w:rPr>
                <w:sz w:val="24"/>
                <w:szCs w:val="24"/>
                <w:rtl/>
              </w:rPr>
              <w:t>תאריך הישיבה:</w:t>
            </w:r>
          </w:p>
        </w:tc>
        <w:tc>
          <w:tcPr>
            <w:tcW w:w="2409" w:type="dxa"/>
            <w:tcBorders>
              <w:top w:val="nil"/>
              <w:left w:val="nil"/>
              <w:bottom w:val="nil"/>
              <w:right w:val="nil"/>
            </w:tcBorders>
          </w:tcPr>
          <w:p w:rsidR="008C2F11" w:rsidRDefault="009757FA" w:rsidP="009757FA">
            <w:pPr>
              <w:pStyle w:val="BodyRuller"/>
              <w:rPr>
                <w:rtl/>
              </w:rPr>
            </w:pPr>
            <w:r>
              <w:rPr>
                <w:rFonts w:hint="cs"/>
                <w:sz w:val="24"/>
                <w:szCs w:val="24"/>
                <w:rtl/>
              </w:rPr>
              <w:t>כ"ז</w:t>
            </w:r>
            <w:r w:rsidR="00E03615">
              <w:rPr>
                <w:sz w:val="24"/>
                <w:szCs w:val="24"/>
                <w:rtl/>
              </w:rPr>
              <w:t xml:space="preserve"> ב</w:t>
            </w:r>
            <w:r>
              <w:rPr>
                <w:rFonts w:hint="cs"/>
                <w:sz w:val="24"/>
                <w:szCs w:val="24"/>
                <w:rtl/>
              </w:rPr>
              <w:t>אייר</w:t>
            </w:r>
            <w:r w:rsidR="00E03615">
              <w:rPr>
                <w:sz w:val="24"/>
                <w:szCs w:val="24"/>
                <w:rtl/>
              </w:rPr>
              <w:t xml:space="preserve"> </w:t>
            </w:r>
            <w:proofErr w:type="spellStart"/>
            <w:r w:rsidR="00E03615">
              <w:rPr>
                <w:sz w:val="24"/>
                <w:szCs w:val="24"/>
                <w:rtl/>
              </w:rPr>
              <w:t>ה</w:t>
            </w:r>
            <w:r>
              <w:rPr>
                <w:rFonts w:hint="cs"/>
                <w:sz w:val="24"/>
                <w:szCs w:val="24"/>
                <w:rtl/>
              </w:rPr>
              <w:t>תשפ"ג</w:t>
            </w:r>
            <w:proofErr w:type="spellEnd"/>
          </w:p>
        </w:tc>
        <w:tc>
          <w:tcPr>
            <w:tcW w:w="2694" w:type="dxa"/>
            <w:tcBorders>
              <w:top w:val="nil"/>
              <w:left w:val="nil"/>
              <w:bottom w:val="nil"/>
              <w:right w:val="nil"/>
            </w:tcBorders>
          </w:tcPr>
          <w:p w:rsidR="008C2F11" w:rsidRDefault="009757FA">
            <w:pPr>
              <w:pStyle w:val="BodyRuller"/>
              <w:rPr>
                <w:sz w:val="24"/>
                <w:szCs w:val="24"/>
                <w:rtl/>
              </w:rPr>
            </w:pPr>
            <w:r w:rsidRPr="009757FA">
              <w:rPr>
                <w:rFonts w:hint="cs"/>
                <w:sz w:val="20"/>
                <w:szCs w:val="24"/>
                <w:rtl/>
              </w:rPr>
              <w:t>(18.5.2023)</w:t>
            </w:r>
          </w:p>
        </w:tc>
      </w:tr>
    </w:tbl>
    <w:p w:rsidR="00916FF8" w:rsidRPr="00356D3D" w:rsidRDefault="00916FF8">
      <w:pPr>
        <w:pStyle w:val="Ruller3"/>
        <w:rPr>
          <w:sz w:val="16"/>
          <w:szCs w:val="20"/>
        </w:rPr>
      </w:pPr>
    </w:p>
    <w:tbl>
      <w:tblPr>
        <w:bidiVisual/>
        <w:tblW w:w="83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15"/>
        <w:gridCol w:w="5148"/>
      </w:tblGrid>
      <w:tr w:rsidR="00036227" w:rsidTr="00D00B1D">
        <w:tc>
          <w:tcPr>
            <w:tcW w:w="3257" w:type="dxa"/>
            <w:tcBorders>
              <w:top w:val="nil"/>
              <w:left w:val="nil"/>
              <w:bottom w:val="nil"/>
              <w:right w:val="nil"/>
            </w:tcBorders>
          </w:tcPr>
          <w:p w:rsidR="00036227" w:rsidRDefault="00E03615">
            <w:pPr>
              <w:pStyle w:val="BodyRuller"/>
            </w:pPr>
            <w:r>
              <w:rPr>
                <w:rtl/>
              </w:rPr>
              <w:t>בשם המערער</w:t>
            </w:r>
            <w:r w:rsidR="00B5640B">
              <w:rPr>
                <w:rFonts w:hint="cs"/>
                <w:rtl/>
              </w:rPr>
              <w:t>ת</w:t>
            </w:r>
            <w:r>
              <w:rPr>
                <w:rtl/>
              </w:rPr>
              <w:t>:</w:t>
            </w:r>
          </w:p>
        </w:tc>
        <w:tc>
          <w:tcPr>
            <w:tcW w:w="5238" w:type="dxa"/>
            <w:tcBorders>
              <w:top w:val="nil"/>
              <w:left w:val="nil"/>
              <w:bottom w:val="nil"/>
              <w:right w:val="nil"/>
            </w:tcBorders>
          </w:tcPr>
          <w:p w:rsidR="00036227" w:rsidRDefault="00B5640B">
            <w:pPr>
              <w:pStyle w:val="BodyRuller"/>
            </w:pPr>
            <w:r w:rsidRPr="00B5640B">
              <w:rPr>
                <w:rtl/>
              </w:rPr>
              <w:t>עו"ד אמיר טבנקין; עו"ד שרית משגב</w:t>
            </w:r>
          </w:p>
        </w:tc>
      </w:tr>
    </w:tbl>
    <w:p w:rsidR="00916FF8" w:rsidRPr="008E6FBF" w:rsidRDefault="00916FF8" w:rsidP="008E6FBF">
      <w:pPr>
        <w:pStyle w:val="BodyRuller"/>
        <w:rPr>
          <w:sz w:val="18"/>
          <w:szCs w:val="18"/>
        </w:rPr>
      </w:pPr>
    </w:p>
    <w:tbl>
      <w:tblPr>
        <w:bidiVisual/>
        <w:tblW w:w="8363" w:type="dxa"/>
        <w:tblInd w:w="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14"/>
        <w:gridCol w:w="5149"/>
      </w:tblGrid>
      <w:tr w:rsidR="00036227" w:rsidTr="00B5640B">
        <w:tc>
          <w:tcPr>
            <w:tcW w:w="3214" w:type="dxa"/>
            <w:tcBorders>
              <w:top w:val="nil"/>
              <w:left w:val="nil"/>
              <w:bottom w:val="nil"/>
              <w:right w:val="nil"/>
            </w:tcBorders>
          </w:tcPr>
          <w:p w:rsidR="00036227" w:rsidRDefault="00E03615" w:rsidP="00B5640B">
            <w:pPr>
              <w:pStyle w:val="BodyRuller"/>
            </w:pPr>
            <w:r>
              <w:rPr>
                <w:rtl/>
              </w:rPr>
              <w:t xml:space="preserve">בשם </w:t>
            </w:r>
            <w:r w:rsidR="00B5640B">
              <w:rPr>
                <w:rFonts w:hint="cs"/>
                <w:rtl/>
              </w:rPr>
              <w:t>משיב 1</w:t>
            </w:r>
            <w:r>
              <w:rPr>
                <w:rtl/>
              </w:rPr>
              <w:t>:</w:t>
            </w:r>
          </w:p>
        </w:tc>
        <w:tc>
          <w:tcPr>
            <w:tcW w:w="5149" w:type="dxa"/>
            <w:tcBorders>
              <w:top w:val="nil"/>
              <w:left w:val="nil"/>
              <w:bottom w:val="nil"/>
              <w:right w:val="nil"/>
            </w:tcBorders>
          </w:tcPr>
          <w:p w:rsidR="00036227" w:rsidRDefault="00E03615" w:rsidP="00B5640B">
            <w:pPr>
              <w:pStyle w:val="BodyRuller"/>
              <w:jc w:val="both"/>
            </w:pPr>
            <w:r>
              <w:rPr>
                <w:rtl/>
              </w:rPr>
              <w:t>עו"ד אלון</w:t>
            </w:r>
            <w:r w:rsidR="00B5640B">
              <w:rPr>
                <w:rFonts w:hint="cs"/>
                <w:rtl/>
              </w:rPr>
              <w:t xml:space="preserve"> רון; עו"ד איילת לשם; עו"ד קרינה </w:t>
            </w:r>
            <w:proofErr w:type="spellStart"/>
            <w:r w:rsidR="00B5640B">
              <w:rPr>
                <w:rFonts w:hint="cs"/>
                <w:rtl/>
              </w:rPr>
              <w:t>קומרוב</w:t>
            </w:r>
            <w:proofErr w:type="spellEnd"/>
          </w:p>
        </w:tc>
      </w:tr>
      <w:tr w:rsidR="00B5640B" w:rsidTr="00B5640B">
        <w:tc>
          <w:tcPr>
            <w:tcW w:w="3214" w:type="dxa"/>
            <w:tcBorders>
              <w:top w:val="nil"/>
              <w:left w:val="nil"/>
              <w:bottom w:val="nil"/>
              <w:right w:val="nil"/>
            </w:tcBorders>
          </w:tcPr>
          <w:p w:rsidR="00B5640B" w:rsidRPr="008E6FBF" w:rsidRDefault="00B5640B">
            <w:pPr>
              <w:pStyle w:val="BodyRuller"/>
              <w:rPr>
                <w:sz w:val="18"/>
                <w:szCs w:val="18"/>
                <w:rtl/>
              </w:rPr>
            </w:pPr>
          </w:p>
        </w:tc>
        <w:tc>
          <w:tcPr>
            <w:tcW w:w="5149" w:type="dxa"/>
            <w:tcBorders>
              <w:top w:val="nil"/>
              <w:left w:val="nil"/>
              <w:bottom w:val="nil"/>
              <w:right w:val="nil"/>
            </w:tcBorders>
          </w:tcPr>
          <w:p w:rsidR="00B5640B" w:rsidRPr="008E6FBF" w:rsidRDefault="00B5640B">
            <w:pPr>
              <w:pStyle w:val="BodyRuller"/>
              <w:rPr>
                <w:sz w:val="18"/>
                <w:szCs w:val="18"/>
                <w:rtl/>
              </w:rPr>
            </w:pPr>
          </w:p>
        </w:tc>
      </w:tr>
      <w:tr w:rsidR="00E03615" w:rsidTr="00B5640B">
        <w:tc>
          <w:tcPr>
            <w:tcW w:w="3214" w:type="dxa"/>
            <w:tcBorders>
              <w:top w:val="nil"/>
              <w:left w:val="nil"/>
              <w:bottom w:val="nil"/>
              <w:right w:val="nil"/>
            </w:tcBorders>
          </w:tcPr>
          <w:p w:rsidR="00E03615" w:rsidRDefault="00B5640B">
            <w:pPr>
              <w:pStyle w:val="BodyRuller"/>
            </w:pPr>
            <w:r>
              <w:rPr>
                <w:rFonts w:hint="cs"/>
                <w:rtl/>
              </w:rPr>
              <w:t>בשם משיב 2:</w:t>
            </w:r>
          </w:p>
        </w:tc>
        <w:tc>
          <w:tcPr>
            <w:tcW w:w="5149" w:type="dxa"/>
            <w:tcBorders>
              <w:top w:val="nil"/>
              <w:left w:val="nil"/>
              <w:bottom w:val="nil"/>
              <w:right w:val="nil"/>
            </w:tcBorders>
          </w:tcPr>
          <w:p w:rsidR="00E03615" w:rsidRDefault="00E03615" w:rsidP="00B5640B">
            <w:pPr>
              <w:pStyle w:val="BodyRuller"/>
              <w:jc w:val="both"/>
              <w:rPr>
                <w:rtl/>
              </w:rPr>
            </w:pPr>
            <w:r>
              <w:rPr>
                <w:rtl/>
              </w:rPr>
              <w:t xml:space="preserve">עו"ד </w:t>
            </w:r>
            <w:r w:rsidR="00B5640B">
              <w:rPr>
                <w:rtl/>
              </w:rPr>
              <w:t>דרור מתתיהו</w:t>
            </w:r>
            <w:r w:rsidR="00B5640B">
              <w:rPr>
                <w:rFonts w:hint="cs"/>
                <w:rtl/>
              </w:rPr>
              <w:t xml:space="preserve">; עו"ד עומר אבירם; עו"ד </w:t>
            </w:r>
            <w:proofErr w:type="spellStart"/>
            <w:r w:rsidR="00B5640B">
              <w:rPr>
                <w:rFonts w:hint="cs"/>
                <w:rtl/>
              </w:rPr>
              <w:t>גראנס</w:t>
            </w:r>
            <w:proofErr w:type="spellEnd"/>
            <w:r w:rsidR="00B5640B">
              <w:rPr>
                <w:rFonts w:hint="cs"/>
                <w:rtl/>
              </w:rPr>
              <w:t xml:space="preserve"> סרוסי</w:t>
            </w:r>
          </w:p>
        </w:tc>
      </w:tr>
      <w:tr w:rsidR="00B5640B" w:rsidTr="00B5640B">
        <w:tc>
          <w:tcPr>
            <w:tcW w:w="3214" w:type="dxa"/>
            <w:tcBorders>
              <w:top w:val="nil"/>
              <w:left w:val="nil"/>
              <w:bottom w:val="nil"/>
              <w:right w:val="nil"/>
            </w:tcBorders>
          </w:tcPr>
          <w:p w:rsidR="00B5640B" w:rsidRPr="008E6FBF" w:rsidRDefault="00B5640B">
            <w:pPr>
              <w:pStyle w:val="BodyRuller"/>
              <w:rPr>
                <w:sz w:val="18"/>
                <w:szCs w:val="18"/>
              </w:rPr>
            </w:pPr>
          </w:p>
        </w:tc>
        <w:tc>
          <w:tcPr>
            <w:tcW w:w="5149" w:type="dxa"/>
            <w:tcBorders>
              <w:top w:val="nil"/>
              <w:left w:val="nil"/>
              <w:bottom w:val="nil"/>
              <w:right w:val="nil"/>
            </w:tcBorders>
          </w:tcPr>
          <w:p w:rsidR="00B5640B" w:rsidRDefault="00B5640B">
            <w:pPr>
              <w:pStyle w:val="BodyRuller"/>
              <w:rPr>
                <w:rtl/>
              </w:rPr>
            </w:pPr>
          </w:p>
        </w:tc>
      </w:tr>
      <w:tr w:rsidR="00E03615" w:rsidTr="00B5640B">
        <w:tc>
          <w:tcPr>
            <w:tcW w:w="3214" w:type="dxa"/>
            <w:tcBorders>
              <w:top w:val="nil"/>
              <w:left w:val="nil"/>
              <w:bottom w:val="nil"/>
              <w:right w:val="nil"/>
            </w:tcBorders>
          </w:tcPr>
          <w:p w:rsidR="00E03615" w:rsidRPr="00B5640B" w:rsidRDefault="00B5640B">
            <w:pPr>
              <w:pStyle w:val="BodyRuller"/>
            </w:pPr>
            <w:r>
              <w:rPr>
                <w:rFonts w:hint="cs"/>
                <w:rtl/>
              </w:rPr>
              <w:t>בשם משיב 3:</w:t>
            </w:r>
          </w:p>
        </w:tc>
        <w:tc>
          <w:tcPr>
            <w:tcW w:w="5149" w:type="dxa"/>
            <w:tcBorders>
              <w:top w:val="nil"/>
              <w:left w:val="nil"/>
              <w:bottom w:val="nil"/>
              <w:right w:val="nil"/>
            </w:tcBorders>
          </w:tcPr>
          <w:p w:rsidR="00E03615" w:rsidRDefault="00E03615" w:rsidP="00B5640B">
            <w:pPr>
              <w:pStyle w:val="BodyRuller"/>
              <w:jc w:val="both"/>
              <w:rPr>
                <w:rtl/>
              </w:rPr>
            </w:pPr>
            <w:r>
              <w:rPr>
                <w:rtl/>
              </w:rPr>
              <w:t xml:space="preserve">עו"ד </w:t>
            </w:r>
            <w:r w:rsidR="00B5640B">
              <w:rPr>
                <w:rFonts w:hint="cs"/>
                <w:rtl/>
              </w:rPr>
              <w:t xml:space="preserve">ירון </w:t>
            </w:r>
            <w:proofErr w:type="spellStart"/>
            <w:r w:rsidR="00B5640B">
              <w:rPr>
                <w:rtl/>
              </w:rPr>
              <w:t>קוסטליץ</w:t>
            </w:r>
            <w:proofErr w:type="spellEnd"/>
            <w:r w:rsidR="00B5640B">
              <w:rPr>
                <w:rFonts w:hint="cs"/>
                <w:rtl/>
              </w:rPr>
              <w:t xml:space="preserve">; עו"ד אביעד </w:t>
            </w:r>
            <w:proofErr w:type="spellStart"/>
            <w:r w:rsidR="00B5640B">
              <w:rPr>
                <w:rFonts w:hint="cs"/>
                <w:rtl/>
              </w:rPr>
              <w:t>שאולזון</w:t>
            </w:r>
            <w:proofErr w:type="spellEnd"/>
            <w:r w:rsidR="00B5640B">
              <w:rPr>
                <w:rFonts w:hint="cs"/>
                <w:rtl/>
              </w:rPr>
              <w:t>; עו"ד דניאל רוזנבלום</w:t>
            </w:r>
          </w:p>
        </w:tc>
      </w:tr>
      <w:tr w:rsidR="00B5640B" w:rsidTr="00B5640B">
        <w:tc>
          <w:tcPr>
            <w:tcW w:w="3214" w:type="dxa"/>
            <w:tcBorders>
              <w:top w:val="nil"/>
              <w:left w:val="nil"/>
              <w:bottom w:val="nil"/>
              <w:right w:val="nil"/>
            </w:tcBorders>
          </w:tcPr>
          <w:p w:rsidR="00B5640B" w:rsidRPr="008E6FBF" w:rsidRDefault="00B5640B">
            <w:pPr>
              <w:pStyle w:val="BodyRuller"/>
              <w:rPr>
                <w:sz w:val="18"/>
                <w:szCs w:val="18"/>
              </w:rPr>
            </w:pPr>
          </w:p>
        </w:tc>
        <w:tc>
          <w:tcPr>
            <w:tcW w:w="5149" w:type="dxa"/>
            <w:tcBorders>
              <w:top w:val="nil"/>
              <w:left w:val="nil"/>
              <w:bottom w:val="nil"/>
              <w:right w:val="nil"/>
            </w:tcBorders>
          </w:tcPr>
          <w:p w:rsidR="00B5640B" w:rsidRDefault="00B5640B">
            <w:pPr>
              <w:pStyle w:val="BodyRuller"/>
              <w:rPr>
                <w:rtl/>
              </w:rPr>
            </w:pPr>
          </w:p>
        </w:tc>
      </w:tr>
      <w:tr w:rsidR="00E03615" w:rsidTr="00B5640B">
        <w:tc>
          <w:tcPr>
            <w:tcW w:w="3214" w:type="dxa"/>
            <w:tcBorders>
              <w:top w:val="nil"/>
              <w:left w:val="nil"/>
              <w:bottom w:val="nil"/>
              <w:right w:val="nil"/>
            </w:tcBorders>
          </w:tcPr>
          <w:p w:rsidR="00E03615" w:rsidRDefault="00B5640B">
            <w:pPr>
              <w:pStyle w:val="BodyRuller"/>
            </w:pPr>
            <w:r>
              <w:rPr>
                <w:rFonts w:hint="cs"/>
                <w:rtl/>
              </w:rPr>
              <w:t>בשם משיבה 4:</w:t>
            </w:r>
          </w:p>
        </w:tc>
        <w:tc>
          <w:tcPr>
            <w:tcW w:w="5149" w:type="dxa"/>
            <w:tcBorders>
              <w:top w:val="nil"/>
              <w:left w:val="nil"/>
              <w:bottom w:val="nil"/>
              <w:right w:val="nil"/>
            </w:tcBorders>
          </w:tcPr>
          <w:p w:rsidR="00E03615" w:rsidRDefault="00E03615" w:rsidP="00B5640B">
            <w:pPr>
              <w:pStyle w:val="BodyRuller"/>
              <w:rPr>
                <w:rtl/>
              </w:rPr>
            </w:pPr>
            <w:r>
              <w:rPr>
                <w:rtl/>
              </w:rPr>
              <w:t xml:space="preserve">עו"ד </w:t>
            </w:r>
            <w:r w:rsidR="00B5640B">
              <w:rPr>
                <w:rFonts w:hint="cs"/>
                <w:rtl/>
              </w:rPr>
              <w:t xml:space="preserve">בעז </w:t>
            </w:r>
            <w:r>
              <w:rPr>
                <w:rtl/>
              </w:rPr>
              <w:t xml:space="preserve">בן צור </w:t>
            </w:r>
          </w:p>
        </w:tc>
      </w:tr>
      <w:tr w:rsidR="00B5640B" w:rsidTr="00B5640B">
        <w:tc>
          <w:tcPr>
            <w:tcW w:w="3214" w:type="dxa"/>
            <w:tcBorders>
              <w:top w:val="nil"/>
              <w:left w:val="nil"/>
              <w:bottom w:val="nil"/>
              <w:right w:val="nil"/>
            </w:tcBorders>
          </w:tcPr>
          <w:p w:rsidR="00B5640B" w:rsidRPr="008E6FBF" w:rsidRDefault="00B5640B">
            <w:pPr>
              <w:pStyle w:val="BodyRuller"/>
              <w:rPr>
                <w:sz w:val="18"/>
                <w:szCs w:val="18"/>
              </w:rPr>
            </w:pPr>
          </w:p>
        </w:tc>
        <w:tc>
          <w:tcPr>
            <w:tcW w:w="5149" w:type="dxa"/>
            <w:tcBorders>
              <w:top w:val="nil"/>
              <w:left w:val="nil"/>
              <w:bottom w:val="nil"/>
              <w:right w:val="nil"/>
            </w:tcBorders>
          </w:tcPr>
          <w:p w:rsidR="00B5640B" w:rsidRDefault="00B5640B">
            <w:pPr>
              <w:pStyle w:val="BodyRuller"/>
              <w:rPr>
                <w:rtl/>
              </w:rPr>
            </w:pPr>
          </w:p>
        </w:tc>
      </w:tr>
      <w:tr w:rsidR="00E03615" w:rsidTr="00B5640B">
        <w:tc>
          <w:tcPr>
            <w:tcW w:w="3214" w:type="dxa"/>
            <w:tcBorders>
              <w:top w:val="nil"/>
              <w:left w:val="nil"/>
              <w:bottom w:val="nil"/>
              <w:right w:val="nil"/>
            </w:tcBorders>
          </w:tcPr>
          <w:p w:rsidR="00E03615" w:rsidRDefault="00B5640B">
            <w:pPr>
              <w:pStyle w:val="BodyRuller"/>
            </w:pPr>
            <w:r>
              <w:rPr>
                <w:rFonts w:hint="cs"/>
                <w:rtl/>
              </w:rPr>
              <w:t>בשם משיבה 5:</w:t>
            </w:r>
          </w:p>
        </w:tc>
        <w:tc>
          <w:tcPr>
            <w:tcW w:w="5149" w:type="dxa"/>
            <w:tcBorders>
              <w:top w:val="nil"/>
              <w:left w:val="nil"/>
              <w:bottom w:val="nil"/>
              <w:right w:val="nil"/>
            </w:tcBorders>
          </w:tcPr>
          <w:p w:rsidR="00E03615" w:rsidRDefault="00E03615" w:rsidP="00B5640B">
            <w:pPr>
              <w:pStyle w:val="BodyRuller"/>
              <w:rPr>
                <w:rtl/>
              </w:rPr>
            </w:pPr>
            <w:r>
              <w:rPr>
                <w:rtl/>
              </w:rPr>
              <w:t xml:space="preserve">עו"ד </w:t>
            </w:r>
            <w:r w:rsidR="00B5640B">
              <w:rPr>
                <w:rFonts w:hint="cs"/>
                <w:rtl/>
              </w:rPr>
              <w:t xml:space="preserve">שניאור שפירא </w:t>
            </w:r>
          </w:p>
        </w:tc>
      </w:tr>
      <w:tr w:rsidR="00B5640B" w:rsidTr="00B5640B">
        <w:tc>
          <w:tcPr>
            <w:tcW w:w="3214" w:type="dxa"/>
            <w:tcBorders>
              <w:top w:val="nil"/>
              <w:left w:val="nil"/>
              <w:bottom w:val="nil"/>
              <w:right w:val="nil"/>
            </w:tcBorders>
          </w:tcPr>
          <w:p w:rsidR="00B5640B" w:rsidRPr="008E6FBF" w:rsidRDefault="00B5640B">
            <w:pPr>
              <w:pStyle w:val="BodyRuller"/>
              <w:rPr>
                <w:sz w:val="18"/>
                <w:szCs w:val="18"/>
              </w:rPr>
            </w:pPr>
          </w:p>
        </w:tc>
        <w:tc>
          <w:tcPr>
            <w:tcW w:w="5149" w:type="dxa"/>
            <w:tcBorders>
              <w:top w:val="nil"/>
              <w:left w:val="nil"/>
              <w:bottom w:val="nil"/>
              <w:right w:val="nil"/>
            </w:tcBorders>
          </w:tcPr>
          <w:p w:rsidR="00B5640B" w:rsidRDefault="00B5640B">
            <w:pPr>
              <w:pStyle w:val="BodyRuller"/>
              <w:rPr>
                <w:rtl/>
              </w:rPr>
            </w:pPr>
          </w:p>
        </w:tc>
      </w:tr>
      <w:tr w:rsidR="00B5640B" w:rsidTr="00B5640B">
        <w:tc>
          <w:tcPr>
            <w:tcW w:w="3214" w:type="dxa"/>
            <w:tcBorders>
              <w:top w:val="nil"/>
              <w:left w:val="nil"/>
              <w:bottom w:val="nil"/>
              <w:right w:val="nil"/>
            </w:tcBorders>
          </w:tcPr>
          <w:p w:rsidR="00B5640B" w:rsidRDefault="00B5640B" w:rsidP="00B5640B">
            <w:pPr>
              <w:pStyle w:val="BodyRuller"/>
            </w:pPr>
            <w:r>
              <w:rPr>
                <w:rFonts w:hint="cs"/>
                <w:rtl/>
              </w:rPr>
              <w:t>בשם משיבה 6:</w:t>
            </w:r>
          </w:p>
        </w:tc>
        <w:tc>
          <w:tcPr>
            <w:tcW w:w="5149" w:type="dxa"/>
            <w:tcBorders>
              <w:top w:val="nil"/>
              <w:left w:val="nil"/>
              <w:bottom w:val="nil"/>
              <w:right w:val="nil"/>
            </w:tcBorders>
          </w:tcPr>
          <w:p w:rsidR="00B5640B" w:rsidRDefault="00B5640B">
            <w:pPr>
              <w:pStyle w:val="BodyRuller"/>
              <w:rPr>
                <w:rtl/>
              </w:rPr>
            </w:pPr>
            <w:r>
              <w:rPr>
                <w:rFonts w:hint="cs"/>
                <w:rtl/>
              </w:rPr>
              <w:t>אין התייצבות</w:t>
            </w:r>
          </w:p>
        </w:tc>
      </w:tr>
      <w:tr w:rsidR="00B5640B" w:rsidTr="00B5640B">
        <w:tc>
          <w:tcPr>
            <w:tcW w:w="3214" w:type="dxa"/>
            <w:tcBorders>
              <w:top w:val="nil"/>
              <w:left w:val="nil"/>
              <w:bottom w:val="nil"/>
              <w:right w:val="nil"/>
            </w:tcBorders>
          </w:tcPr>
          <w:p w:rsidR="00B5640B" w:rsidRPr="008E6FBF" w:rsidRDefault="00B5640B">
            <w:pPr>
              <w:pStyle w:val="BodyRuller"/>
              <w:rPr>
                <w:sz w:val="18"/>
                <w:szCs w:val="18"/>
              </w:rPr>
            </w:pPr>
          </w:p>
        </w:tc>
        <w:tc>
          <w:tcPr>
            <w:tcW w:w="5149" w:type="dxa"/>
            <w:tcBorders>
              <w:top w:val="nil"/>
              <w:left w:val="nil"/>
              <w:bottom w:val="nil"/>
              <w:right w:val="nil"/>
            </w:tcBorders>
          </w:tcPr>
          <w:p w:rsidR="00B5640B" w:rsidRDefault="00B5640B">
            <w:pPr>
              <w:pStyle w:val="BodyRuller"/>
              <w:rPr>
                <w:rtl/>
              </w:rPr>
            </w:pPr>
          </w:p>
        </w:tc>
      </w:tr>
      <w:tr w:rsidR="00E03615" w:rsidTr="00B5640B">
        <w:tc>
          <w:tcPr>
            <w:tcW w:w="3214" w:type="dxa"/>
            <w:tcBorders>
              <w:top w:val="nil"/>
              <w:left w:val="nil"/>
              <w:bottom w:val="nil"/>
              <w:right w:val="nil"/>
            </w:tcBorders>
          </w:tcPr>
          <w:p w:rsidR="00E03615" w:rsidRDefault="00B5640B">
            <w:pPr>
              <w:pStyle w:val="BodyRuller"/>
            </w:pPr>
            <w:r>
              <w:rPr>
                <w:rFonts w:hint="cs"/>
                <w:rtl/>
              </w:rPr>
              <w:t>בשם משיבה 7:</w:t>
            </w:r>
          </w:p>
        </w:tc>
        <w:tc>
          <w:tcPr>
            <w:tcW w:w="5149" w:type="dxa"/>
            <w:tcBorders>
              <w:top w:val="nil"/>
              <w:left w:val="nil"/>
              <w:bottom w:val="nil"/>
              <w:right w:val="nil"/>
            </w:tcBorders>
          </w:tcPr>
          <w:p w:rsidR="00E03615" w:rsidRDefault="00E03615" w:rsidP="00B5640B">
            <w:pPr>
              <w:pStyle w:val="BodyRuller"/>
              <w:rPr>
                <w:rtl/>
              </w:rPr>
            </w:pPr>
            <w:r>
              <w:rPr>
                <w:rtl/>
              </w:rPr>
              <w:t xml:space="preserve">עו"ד </w:t>
            </w:r>
            <w:r w:rsidR="00B5640B">
              <w:rPr>
                <w:rtl/>
              </w:rPr>
              <w:t>פנחס רובין</w:t>
            </w:r>
            <w:r w:rsidR="00B5640B">
              <w:rPr>
                <w:rFonts w:hint="cs"/>
                <w:rtl/>
              </w:rPr>
              <w:t>; עו"ד עמית פרץ</w:t>
            </w:r>
          </w:p>
        </w:tc>
      </w:tr>
    </w:tbl>
    <w:p w:rsidR="00916FF8" w:rsidRDefault="00916FF8">
      <w:pPr>
        <w:tabs>
          <w:tab w:val="left" w:pos="2552"/>
        </w:tabs>
        <w:rPr>
          <w:rtl/>
        </w:rPr>
      </w:pPr>
    </w:p>
    <w:p w:rsidR="0028412B" w:rsidRDefault="0028412B">
      <w:pPr>
        <w:tabs>
          <w:tab w:val="left" w:pos="2552"/>
        </w:tabs>
      </w:pPr>
    </w:p>
    <w:tbl>
      <w:tblPr>
        <w:bidiVisual/>
        <w:tblW w:w="8363" w:type="dxa"/>
        <w:tblLook w:val="0000" w:firstRow="0" w:lastRow="0" w:firstColumn="0" w:lastColumn="0" w:noHBand="0" w:noVBand="0"/>
      </w:tblPr>
      <w:tblGrid>
        <w:gridCol w:w="8363"/>
      </w:tblGrid>
      <w:tr w:rsidR="00036227" w:rsidTr="00D00B1D">
        <w:tc>
          <w:tcPr>
            <w:tcW w:w="9837" w:type="dxa"/>
          </w:tcPr>
          <w:p w:rsidR="00916FF8" w:rsidRDefault="00E03615">
            <w:pPr>
              <w:pStyle w:val="DocumentHead"/>
            </w:pPr>
            <w:bookmarkStart w:id="2" w:name="secretary"/>
            <w:bookmarkStart w:id="3" w:name="BeginProtocol"/>
            <w:bookmarkEnd w:id="2"/>
            <w:bookmarkEnd w:id="3"/>
            <w:r>
              <w:rPr>
                <w:rtl/>
              </w:rPr>
              <w:t>פסק-דין</w:t>
            </w:r>
          </w:p>
        </w:tc>
      </w:tr>
    </w:tbl>
    <w:p w:rsidR="0065522F" w:rsidRDefault="0065522F">
      <w:pPr>
        <w:pStyle w:val="BODYVERDICT"/>
      </w:pPr>
    </w:p>
    <w:p w:rsidR="00916FF8" w:rsidRPr="00503A3E" w:rsidRDefault="00E03615">
      <w:pPr>
        <w:pStyle w:val="BODYVERDICT"/>
        <w:rPr>
          <w:rFonts w:cs="Miriam"/>
          <w:sz w:val="24"/>
          <w:szCs w:val="24"/>
          <w:u w:val="single"/>
          <w:rtl/>
        </w:rPr>
      </w:pPr>
      <w:bookmarkStart w:id="4" w:name="Writer_Name"/>
      <w:bookmarkEnd w:id="4"/>
      <w:r>
        <w:rPr>
          <w:rFonts w:cs="Miriam"/>
          <w:sz w:val="24"/>
          <w:szCs w:val="24"/>
          <w:u w:val="single"/>
          <w:rtl/>
        </w:rPr>
        <w:lastRenderedPageBreak/>
        <w:t>השופט ד' מינץ:</w:t>
      </w:r>
    </w:p>
    <w:p w:rsidR="000B1478" w:rsidRDefault="000B1478" w:rsidP="00A51FAE">
      <w:pPr>
        <w:pStyle w:val="Ruller41"/>
        <w:rPr>
          <w:rtl/>
        </w:rPr>
      </w:pPr>
      <w:bookmarkStart w:id="5" w:name="Start_Write"/>
      <w:bookmarkEnd w:id="5"/>
    </w:p>
    <w:p w:rsidR="008A4DD4" w:rsidRPr="00531BD3" w:rsidRDefault="008A4DD4" w:rsidP="008A4DD4">
      <w:pPr>
        <w:pStyle w:val="Ruller41"/>
        <w:rPr>
          <w:rtl/>
        </w:rPr>
      </w:pPr>
      <w:r w:rsidRPr="00531BD3">
        <w:rPr>
          <w:rtl/>
        </w:rPr>
        <w:tab/>
      </w:r>
      <w:r w:rsidRPr="00531BD3">
        <w:rPr>
          <w:rFonts w:hint="cs"/>
          <w:rtl/>
        </w:rPr>
        <w:t xml:space="preserve">לפנינו ערעור על החלטת בית המשפט המחוזי בתל אביב-יפו (השופטת </w:t>
      </w:r>
      <w:r w:rsidRPr="00531BD3">
        <w:rPr>
          <w:rFonts w:ascii="Century" w:hAnsi="Century" w:cs="Miriam" w:hint="cs"/>
          <w:b/>
          <w:spacing w:val="0"/>
          <w:szCs w:val="24"/>
          <w:rtl/>
        </w:rPr>
        <w:t>מ' אגמון-גונן</w:t>
      </w:r>
      <w:r w:rsidRPr="00531BD3">
        <w:rPr>
          <w:rFonts w:hint="cs"/>
          <w:rtl/>
        </w:rPr>
        <w:t xml:space="preserve">) </w:t>
      </w:r>
      <w:proofErr w:type="spellStart"/>
      <w:r w:rsidRPr="00531BD3">
        <w:rPr>
          <w:rFonts w:hint="cs"/>
          <w:rtl/>
        </w:rPr>
        <w:t>בת"פ</w:t>
      </w:r>
      <w:proofErr w:type="spellEnd"/>
      <w:r w:rsidRPr="00531BD3">
        <w:rPr>
          <w:rFonts w:hint="cs"/>
          <w:rtl/>
        </w:rPr>
        <w:t xml:space="preserve"> 51538-12-20 מיום 20.7.2022, בה התקבלה טענה מקדמית שהעלו המשיבים ובוטלו שני אישומים נגדם מן הטעם שעובדות כתב האישום </w:t>
      </w:r>
      <w:proofErr w:type="spellStart"/>
      <w:r w:rsidRPr="00531BD3">
        <w:rPr>
          <w:rFonts w:hint="cs"/>
          <w:rtl/>
        </w:rPr>
        <w:t>באישומים</w:t>
      </w:r>
      <w:proofErr w:type="spellEnd"/>
      <w:r w:rsidRPr="00531BD3">
        <w:rPr>
          <w:rFonts w:hint="cs"/>
          <w:rtl/>
        </w:rPr>
        <w:t xml:space="preserve"> אלה אינן מגלות עבירה.</w:t>
      </w:r>
    </w:p>
    <w:p w:rsidR="008A4DD4" w:rsidRPr="00531BD3" w:rsidRDefault="008A4DD4" w:rsidP="008A4DD4">
      <w:pPr>
        <w:pStyle w:val="Ruller41"/>
        <w:rPr>
          <w:rtl/>
        </w:rPr>
      </w:pPr>
    </w:p>
    <w:p w:rsidR="008A4DD4" w:rsidRPr="00531BD3" w:rsidRDefault="008A4DD4" w:rsidP="008A4DD4">
      <w:pPr>
        <w:pStyle w:val="Ruller41"/>
        <w:rPr>
          <w:rFonts w:ascii="Century" w:hAnsi="Century" w:cs="Miriam"/>
          <w:b/>
          <w:spacing w:val="0"/>
          <w:szCs w:val="24"/>
          <w:rtl/>
        </w:rPr>
      </w:pPr>
      <w:r w:rsidRPr="00531BD3">
        <w:rPr>
          <w:rFonts w:ascii="Century" w:hAnsi="Century" w:cs="Miriam" w:hint="cs"/>
          <w:b/>
          <w:spacing w:val="0"/>
          <w:szCs w:val="24"/>
          <w:rtl/>
        </w:rPr>
        <w:t>הרקע להליך בבית המשפט המחוזי</w:t>
      </w:r>
    </w:p>
    <w:p w:rsidR="008A4DD4" w:rsidRPr="00531BD3" w:rsidRDefault="008A4DD4" w:rsidP="008A4DD4">
      <w:pPr>
        <w:pStyle w:val="Ruller4"/>
      </w:pPr>
      <w:r w:rsidRPr="00531BD3">
        <w:rPr>
          <w:rFonts w:hint="cs"/>
          <w:rtl/>
        </w:rPr>
        <w:t xml:space="preserve">במוקד </w:t>
      </w:r>
      <w:proofErr w:type="spellStart"/>
      <w:r w:rsidRPr="00531BD3">
        <w:rPr>
          <w:rFonts w:hint="cs"/>
          <w:rtl/>
        </w:rPr>
        <w:t>האישומים</w:t>
      </w:r>
      <w:proofErr w:type="spellEnd"/>
      <w:r w:rsidRPr="00531BD3">
        <w:rPr>
          <w:rFonts w:hint="cs"/>
          <w:rtl/>
        </w:rPr>
        <w:t xml:space="preserve"> האמורים, התנהלות הקשורה לשתי עסקאות בהן התקשרה בזק החברה הישראלית לתקשורת בע"מ (להלן: </w:t>
      </w:r>
      <w:r w:rsidRPr="00531BD3">
        <w:rPr>
          <w:rFonts w:ascii="Century" w:hAnsi="Century" w:cs="Miriam" w:hint="cs"/>
          <w:b/>
          <w:spacing w:val="0"/>
          <w:sz w:val="22"/>
          <w:szCs w:val="24"/>
          <w:rtl/>
        </w:rPr>
        <w:t>חברת</w:t>
      </w:r>
      <w:r w:rsidRPr="00531BD3">
        <w:rPr>
          <w:rFonts w:hint="cs"/>
          <w:rtl/>
        </w:rPr>
        <w:t xml:space="preserve"> </w:t>
      </w:r>
      <w:r w:rsidRPr="00531BD3">
        <w:rPr>
          <w:rFonts w:ascii="Century" w:hAnsi="Century" w:cs="Miriam" w:hint="cs"/>
          <w:b/>
          <w:spacing w:val="0"/>
          <w:szCs w:val="24"/>
          <w:rtl/>
        </w:rPr>
        <w:t>בזק</w:t>
      </w:r>
      <w:r w:rsidRPr="00531BD3">
        <w:rPr>
          <w:rFonts w:hint="cs"/>
          <w:rtl/>
        </w:rPr>
        <w:t xml:space="preserve"> או </w:t>
      </w:r>
      <w:r w:rsidRPr="00531BD3">
        <w:rPr>
          <w:rFonts w:ascii="Century" w:hAnsi="Century" w:cs="Miriam" w:hint="cs"/>
          <w:b/>
          <w:spacing w:val="0"/>
          <w:sz w:val="22"/>
          <w:szCs w:val="24"/>
          <w:rtl/>
        </w:rPr>
        <w:t>בזק</w:t>
      </w:r>
      <w:r w:rsidRPr="00531BD3">
        <w:rPr>
          <w:rFonts w:hint="cs"/>
          <w:rtl/>
        </w:rPr>
        <w:t xml:space="preserve">) בהיקף של כ-2 מיליארד ש"ח: עסקה אחת בשנת 2015 בה רכשה בזק את </w:t>
      </w:r>
      <w:proofErr w:type="spellStart"/>
      <w:r w:rsidRPr="00531BD3">
        <w:rPr>
          <w:rFonts w:hint="cs"/>
          <w:rtl/>
        </w:rPr>
        <w:t>החזקותיה</w:t>
      </w:r>
      <w:proofErr w:type="spellEnd"/>
      <w:r w:rsidRPr="00531BD3">
        <w:rPr>
          <w:rFonts w:hint="cs"/>
          <w:rtl/>
        </w:rPr>
        <w:t xml:space="preserve"> של משיבה 5, יורוקום </w:t>
      </w:r>
      <w:proofErr w:type="spellStart"/>
      <w:r w:rsidRPr="00531BD3">
        <w:rPr>
          <w:rFonts w:hint="cs"/>
          <w:rtl/>
        </w:rPr>
        <w:t>די.בי.אס</w:t>
      </w:r>
      <w:proofErr w:type="spellEnd"/>
      <w:r w:rsidRPr="00531BD3">
        <w:rPr>
          <w:rFonts w:hint="cs"/>
          <w:rtl/>
        </w:rPr>
        <w:t xml:space="preserve"> </w:t>
      </w:r>
      <w:r w:rsidRPr="00531BD3">
        <w:rPr>
          <w:rFonts w:hint="eastAsia"/>
          <w:rtl/>
        </w:rPr>
        <w:t>בע"מ</w:t>
      </w:r>
      <w:r w:rsidRPr="00531BD3">
        <w:rPr>
          <w:rFonts w:hint="cs"/>
          <w:rtl/>
        </w:rPr>
        <w:t xml:space="preserve"> (להלן: </w:t>
      </w:r>
      <w:r w:rsidRPr="00531BD3">
        <w:rPr>
          <w:rFonts w:ascii="Century" w:hAnsi="Century" w:cs="Miriam" w:hint="cs"/>
          <w:b/>
          <w:spacing w:val="0"/>
          <w:sz w:val="22"/>
          <w:szCs w:val="24"/>
          <w:rtl/>
        </w:rPr>
        <w:t xml:space="preserve">יורוקום </w:t>
      </w:r>
      <w:proofErr w:type="spellStart"/>
      <w:r w:rsidRPr="00531BD3">
        <w:rPr>
          <w:rFonts w:ascii="Century" w:hAnsi="Century" w:cs="Miriam" w:hint="cs"/>
          <w:b/>
          <w:spacing w:val="0"/>
          <w:sz w:val="22"/>
          <w:szCs w:val="24"/>
          <w:rtl/>
        </w:rPr>
        <w:t>די.בי.אס</w:t>
      </w:r>
      <w:proofErr w:type="spellEnd"/>
      <w:r w:rsidRPr="00531BD3">
        <w:rPr>
          <w:rFonts w:hint="cs"/>
          <w:rtl/>
        </w:rPr>
        <w:t xml:space="preserve">) בחברת </w:t>
      </w:r>
      <w:proofErr w:type="spellStart"/>
      <w:r w:rsidRPr="00531BD3">
        <w:rPr>
          <w:rFonts w:hint="cs"/>
          <w:rtl/>
        </w:rPr>
        <w:t>די.בי.אס</w:t>
      </w:r>
      <w:proofErr w:type="spellEnd"/>
      <w:r w:rsidRPr="00531BD3">
        <w:rPr>
          <w:rFonts w:hint="cs"/>
          <w:rtl/>
        </w:rPr>
        <w:t xml:space="preserve"> שירותי לוויין (1998) בע</w:t>
      </w:r>
      <w:r w:rsidRPr="00531BD3">
        <w:rPr>
          <w:rtl/>
        </w:rPr>
        <w:t>"</w:t>
      </w:r>
      <w:r w:rsidRPr="00531BD3">
        <w:rPr>
          <w:rFonts w:hint="cs"/>
          <w:rtl/>
        </w:rPr>
        <w:t xml:space="preserve">מ (להלן: </w:t>
      </w:r>
      <w:r w:rsidRPr="00531BD3">
        <w:rPr>
          <w:rFonts w:ascii="Century" w:hAnsi="Century" w:cs="Miriam" w:hint="cs"/>
          <w:b/>
          <w:spacing w:val="0"/>
          <w:sz w:val="22"/>
          <w:szCs w:val="24"/>
          <w:rtl/>
        </w:rPr>
        <w:t>חברת יס</w:t>
      </w:r>
      <w:r w:rsidRPr="00531BD3">
        <w:rPr>
          <w:rFonts w:hint="cs"/>
          <w:rtl/>
        </w:rPr>
        <w:t xml:space="preserve"> או </w:t>
      </w:r>
      <w:r w:rsidRPr="00531BD3">
        <w:rPr>
          <w:rFonts w:ascii="Century" w:hAnsi="Century" w:cs="Miriam" w:hint="cs"/>
          <w:b/>
          <w:spacing w:val="0"/>
          <w:sz w:val="22"/>
          <w:szCs w:val="24"/>
          <w:rtl/>
        </w:rPr>
        <w:t>יס</w:t>
      </w:r>
      <w:r w:rsidRPr="00531BD3">
        <w:rPr>
          <w:rFonts w:hint="cs"/>
          <w:rtl/>
        </w:rPr>
        <w:t xml:space="preserve">), באופן שהביא לכך שמלוא מניותיה של חברת יס הוחזקו על ידי בזק (להלן: </w:t>
      </w:r>
      <w:r w:rsidRPr="00531BD3">
        <w:rPr>
          <w:rFonts w:ascii="Century" w:hAnsi="Century" w:cs="Miriam" w:hint="cs"/>
          <w:b/>
          <w:spacing w:val="0"/>
          <w:szCs w:val="24"/>
          <w:rtl/>
        </w:rPr>
        <w:t>עסקת בזק-יס</w:t>
      </w:r>
      <w:r w:rsidRPr="00531BD3">
        <w:rPr>
          <w:rFonts w:hint="cs"/>
          <w:rtl/>
        </w:rPr>
        <w:t xml:space="preserve">); ועסקה שנייה בשנת 2017 בין חברת יס (שהייתה באותו שלב כבר בבעלות מלאה של בזק כאמור) לבין </w:t>
      </w:r>
      <w:r w:rsidRPr="00531BD3">
        <w:rPr>
          <w:rFonts w:hint="eastAsia"/>
          <w:rtl/>
        </w:rPr>
        <w:t>חברת</w:t>
      </w:r>
      <w:r w:rsidRPr="00531BD3">
        <w:rPr>
          <w:rtl/>
        </w:rPr>
        <w:t xml:space="preserve"> </w:t>
      </w:r>
      <w:r w:rsidRPr="00531BD3">
        <w:rPr>
          <w:rFonts w:hint="eastAsia"/>
          <w:rtl/>
        </w:rPr>
        <w:t>חלל</w:t>
      </w:r>
      <w:r w:rsidRPr="00531BD3">
        <w:rPr>
          <w:rtl/>
        </w:rPr>
        <w:t xml:space="preserve"> </w:t>
      </w:r>
      <w:r w:rsidRPr="00531BD3">
        <w:rPr>
          <w:rFonts w:hint="eastAsia"/>
          <w:rtl/>
        </w:rPr>
        <w:t>תקשורת</w:t>
      </w:r>
      <w:r w:rsidRPr="00531BD3">
        <w:rPr>
          <w:rtl/>
        </w:rPr>
        <w:t xml:space="preserve"> </w:t>
      </w:r>
      <w:r w:rsidRPr="00531BD3">
        <w:rPr>
          <w:rFonts w:hint="eastAsia"/>
          <w:rtl/>
        </w:rPr>
        <w:t>בע</w:t>
      </w:r>
      <w:r w:rsidRPr="00531BD3">
        <w:rPr>
          <w:rtl/>
        </w:rPr>
        <w:t>"</w:t>
      </w:r>
      <w:r w:rsidRPr="00531BD3">
        <w:rPr>
          <w:rFonts w:hint="eastAsia"/>
          <w:rtl/>
        </w:rPr>
        <w:t>מ</w:t>
      </w:r>
      <w:r w:rsidRPr="00531BD3">
        <w:rPr>
          <w:rFonts w:hint="cs"/>
          <w:rtl/>
        </w:rPr>
        <w:t xml:space="preserve"> (להלן: </w:t>
      </w:r>
      <w:r w:rsidRPr="00531BD3">
        <w:rPr>
          <w:rFonts w:ascii="Century" w:hAnsi="Century" w:cs="Miriam" w:hint="cs"/>
          <w:b/>
          <w:spacing w:val="0"/>
          <w:sz w:val="22"/>
          <w:szCs w:val="24"/>
          <w:rtl/>
        </w:rPr>
        <w:t xml:space="preserve">חברת חלל </w:t>
      </w:r>
      <w:r w:rsidRPr="00531BD3">
        <w:rPr>
          <w:rFonts w:ascii="Century" w:hAnsi="Century" w:hint="eastAsia"/>
          <w:sz w:val="22"/>
          <w:rtl/>
        </w:rPr>
        <w:t>או</w:t>
      </w:r>
      <w:r w:rsidRPr="00531BD3">
        <w:rPr>
          <w:rFonts w:ascii="Century" w:hAnsi="Century" w:cs="Miriam" w:hint="cs"/>
          <w:b/>
          <w:spacing w:val="0"/>
          <w:sz w:val="22"/>
          <w:szCs w:val="24"/>
          <w:rtl/>
        </w:rPr>
        <w:t xml:space="preserve"> חלל</w:t>
      </w:r>
      <w:r w:rsidRPr="00531BD3">
        <w:rPr>
          <w:rFonts w:hint="cs"/>
          <w:rtl/>
        </w:rPr>
        <w:t xml:space="preserve">) בה רכשה יס מחלל </w:t>
      </w:r>
      <w:r w:rsidRPr="00531BD3">
        <w:rPr>
          <w:rFonts w:hint="eastAsia"/>
          <w:rtl/>
        </w:rPr>
        <w:t>רצועות</w:t>
      </w:r>
      <w:r w:rsidRPr="00531BD3">
        <w:rPr>
          <w:rtl/>
        </w:rPr>
        <w:t xml:space="preserve"> </w:t>
      </w:r>
      <w:r w:rsidRPr="00531BD3">
        <w:rPr>
          <w:rFonts w:hint="eastAsia"/>
          <w:rtl/>
        </w:rPr>
        <w:t>שידור</w:t>
      </w:r>
      <w:r w:rsidRPr="00531BD3">
        <w:rPr>
          <w:rtl/>
        </w:rPr>
        <w:t xml:space="preserve"> </w:t>
      </w:r>
      <w:r w:rsidRPr="00531BD3">
        <w:rPr>
          <w:rFonts w:hint="eastAsia"/>
          <w:rtl/>
        </w:rPr>
        <w:t>לווי</w:t>
      </w:r>
      <w:r w:rsidRPr="00531BD3">
        <w:rPr>
          <w:rFonts w:hint="cs"/>
          <w:rtl/>
        </w:rPr>
        <w:t>י</w:t>
      </w:r>
      <w:r w:rsidRPr="00531BD3">
        <w:rPr>
          <w:rFonts w:hint="eastAsia"/>
          <w:rtl/>
        </w:rPr>
        <w:t>ני</w:t>
      </w:r>
      <w:r w:rsidRPr="00531BD3">
        <w:rPr>
          <w:rFonts w:hint="cs"/>
          <w:rtl/>
        </w:rPr>
        <w:t xml:space="preserve"> מעבר למקטעי לוויין שחכרה ממנה עד לאותה עת (להלן: </w:t>
      </w:r>
      <w:r w:rsidRPr="00531BD3">
        <w:rPr>
          <w:rFonts w:ascii="Century" w:hAnsi="Century" w:cs="Miriam" w:hint="cs"/>
          <w:b/>
          <w:spacing w:val="0"/>
          <w:sz w:val="22"/>
          <w:szCs w:val="24"/>
          <w:rtl/>
        </w:rPr>
        <w:t>עסקת יס-חלל</w:t>
      </w:r>
      <w:r w:rsidRPr="00531BD3">
        <w:rPr>
          <w:rFonts w:hint="cs"/>
          <w:rtl/>
        </w:rPr>
        <w:t xml:space="preserve">). </w:t>
      </w:r>
    </w:p>
    <w:p w:rsidR="008A4DD4" w:rsidRPr="00531BD3" w:rsidRDefault="008A4DD4" w:rsidP="008A4DD4">
      <w:pPr>
        <w:pStyle w:val="Ruller4"/>
        <w:numPr>
          <w:ilvl w:val="0"/>
          <w:numId w:val="0"/>
        </w:numPr>
      </w:pPr>
    </w:p>
    <w:p w:rsidR="008A4DD4" w:rsidRPr="00531BD3" w:rsidRDefault="008A4DD4" w:rsidP="008A4DD4">
      <w:pPr>
        <w:pStyle w:val="Ruller4"/>
        <w:rPr>
          <w:rtl/>
        </w:rPr>
      </w:pPr>
      <w:r w:rsidRPr="00531BD3">
        <w:rPr>
          <w:rFonts w:hint="cs"/>
          <w:rtl/>
        </w:rPr>
        <w:t xml:space="preserve">משיב 1, שאול </w:t>
      </w:r>
      <w:proofErr w:type="spellStart"/>
      <w:r w:rsidRPr="00531BD3">
        <w:rPr>
          <w:rFonts w:hint="cs"/>
          <w:rtl/>
        </w:rPr>
        <w:t>אלוביץ</w:t>
      </w:r>
      <w:proofErr w:type="spellEnd"/>
      <w:r w:rsidRPr="00531BD3">
        <w:rPr>
          <w:rFonts w:hint="cs"/>
          <w:rtl/>
        </w:rPr>
        <w:t xml:space="preserve">' (להלן: </w:t>
      </w:r>
      <w:proofErr w:type="spellStart"/>
      <w:r w:rsidRPr="00531BD3">
        <w:rPr>
          <w:rFonts w:ascii="Century" w:hAnsi="Century" w:cs="Miriam" w:hint="cs"/>
          <w:b/>
          <w:spacing w:val="0"/>
          <w:sz w:val="22"/>
          <w:szCs w:val="24"/>
          <w:rtl/>
        </w:rPr>
        <w:t>אלוביץ</w:t>
      </w:r>
      <w:proofErr w:type="spellEnd"/>
      <w:r w:rsidRPr="00531BD3">
        <w:rPr>
          <w:rFonts w:ascii="Century" w:hAnsi="Century" w:cs="Miriam" w:hint="cs"/>
          <w:b/>
          <w:spacing w:val="0"/>
          <w:sz w:val="22"/>
          <w:szCs w:val="24"/>
          <w:rtl/>
        </w:rPr>
        <w:t>'</w:t>
      </w:r>
      <w:r w:rsidRPr="00531BD3">
        <w:rPr>
          <w:rFonts w:hint="cs"/>
          <w:rtl/>
        </w:rPr>
        <w:t xml:space="preserve">), היה בתקופות הרלוונטיות </w:t>
      </w:r>
      <w:proofErr w:type="spellStart"/>
      <w:r w:rsidRPr="00531BD3">
        <w:rPr>
          <w:rFonts w:hint="cs"/>
          <w:rtl/>
        </w:rPr>
        <w:t>לאישומים</w:t>
      </w:r>
      <w:proofErr w:type="spellEnd"/>
      <w:r w:rsidRPr="00531BD3">
        <w:rPr>
          <w:rFonts w:hint="cs"/>
          <w:rtl/>
        </w:rPr>
        <w:t xml:space="preserve"> בעל השליטה בכל החברות האמורות. כך, הוא היה בעל השליטה במשיבה 7, </w:t>
      </w:r>
      <w:r w:rsidRPr="00531BD3">
        <w:rPr>
          <w:rFonts w:hint="eastAsia"/>
          <w:rtl/>
        </w:rPr>
        <w:t>חברת</w:t>
      </w:r>
      <w:r w:rsidRPr="00531BD3">
        <w:rPr>
          <w:rtl/>
        </w:rPr>
        <w:t xml:space="preserve"> </w:t>
      </w:r>
      <w:r w:rsidRPr="00531BD3">
        <w:rPr>
          <w:rFonts w:hint="eastAsia"/>
          <w:rtl/>
        </w:rPr>
        <w:t>יורוקום</w:t>
      </w:r>
      <w:r w:rsidRPr="00531BD3">
        <w:rPr>
          <w:rtl/>
        </w:rPr>
        <w:t xml:space="preserve"> </w:t>
      </w:r>
      <w:r w:rsidRPr="00531BD3">
        <w:rPr>
          <w:rFonts w:hint="eastAsia"/>
          <w:rtl/>
        </w:rPr>
        <w:t>אחזקות</w:t>
      </w:r>
      <w:r w:rsidRPr="00531BD3">
        <w:rPr>
          <w:rtl/>
        </w:rPr>
        <w:t xml:space="preserve"> (1979) </w:t>
      </w:r>
      <w:r w:rsidRPr="00531BD3">
        <w:rPr>
          <w:rFonts w:hint="eastAsia"/>
          <w:rtl/>
        </w:rPr>
        <w:t>בע</w:t>
      </w:r>
      <w:r w:rsidRPr="00531BD3">
        <w:rPr>
          <w:rtl/>
        </w:rPr>
        <w:t>"</w:t>
      </w:r>
      <w:r w:rsidRPr="00531BD3">
        <w:rPr>
          <w:rFonts w:hint="eastAsia"/>
          <w:rtl/>
        </w:rPr>
        <w:t>מ</w:t>
      </w:r>
      <w:r w:rsidRPr="00531BD3">
        <w:rPr>
          <w:rFonts w:hint="cs"/>
          <w:rtl/>
        </w:rPr>
        <w:t xml:space="preserve"> (להלן: </w:t>
      </w:r>
      <w:r w:rsidRPr="00531BD3">
        <w:rPr>
          <w:rFonts w:ascii="Century" w:hAnsi="Century" w:cs="Miriam" w:hint="cs"/>
          <w:b/>
          <w:spacing w:val="0"/>
          <w:sz w:val="22"/>
          <w:szCs w:val="24"/>
          <w:rtl/>
        </w:rPr>
        <w:t>יורוקום אחזקות</w:t>
      </w:r>
      <w:r w:rsidRPr="00531BD3">
        <w:rPr>
          <w:rFonts w:hint="cs"/>
          <w:rtl/>
        </w:rPr>
        <w:t>)</w:t>
      </w:r>
      <w:r w:rsidRPr="00531BD3">
        <w:rPr>
          <w:rtl/>
        </w:rPr>
        <w:t xml:space="preserve">, </w:t>
      </w:r>
      <w:r w:rsidRPr="00531BD3">
        <w:rPr>
          <w:rFonts w:hint="cs"/>
          <w:rtl/>
        </w:rPr>
        <w:t xml:space="preserve">שהחזיקה בחברות רבות בתחום התקשורת </w:t>
      </w:r>
      <w:r w:rsidRPr="00531BD3">
        <w:rPr>
          <w:rtl/>
        </w:rPr>
        <w:t>(</w:t>
      </w:r>
      <w:r w:rsidRPr="00531BD3">
        <w:rPr>
          <w:rFonts w:hint="cs"/>
          <w:rtl/>
        </w:rPr>
        <w:t xml:space="preserve">קבוצת חברות זו תקרא </w:t>
      </w:r>
      <w:r w:rsidRPr="00531BD3">
        <w:rPr>
          <w:rFonts w:hint="eastAsia"/>
          <w:rtl/>
        </w:rPr>
        <w:t>להלן</w:t>
      </w:r>
      <w:r w:rsidRPr="00531BD3">
        <w:rPr>
          <w:rtl/>
        </w:rPr>
        <w:t xml:space="preserve">: </w:t>
      </w:r>
      <w:r w:rsidRPr="00531BD3">
        <w:rPr>
          <w:rFonts w:ascii="Century" w:hAnsi="Century" w:cs="Miriam" w:hint="cs"/>
          <w:b/>
          <w:spacing w:val="0"/>
          <w:szCs w:val="24"/>
          <w:rtl/>
        </w:rPr>
        <w:t>קבוצת יורוקום</w:t>
      </w:r>
      <w:r w:rsidRPr="00531BD3">
        <w:rPr>
          <w:rFonts w:hint="cs"/>
          <w:rtl/>
        </w:rPr>
        <w:t xml:space="preserve">). בכלל זה הייתה יורוקום אחזקות בעלת השליטה במשיבה 6, חברת יורוקום </w:t>
      </w:r>
      <w:proofErr w:type="spellStart"/>
      <w:r w:rsidRPr="00531BD3">
        <w:rPr>
          <w:rFonts w:hint="cs"/>
          <w:rtl/>
        </w:rPr>
        <w:t>נטוורקס</w:t>
      </w:r>
      <w:proofErr w:type="spellEnd"/>
      <w:r w:rsidRPr="00531BD3">
        <w:rPr>
          <w:rFonts w:hint="cs"/>
          <w:rtl/>
        </w:rPr>
        <w:t xml:space="preserve"> וטכנולוגיות בע"מ (להלן: </w:t>
      </w:r>
      <w:r w:rsidRPr="00531BD3">
        <w:rPr>
          <w:rFonts w:ascii="Century" w:hAnsi="Century" w:cs="Miriam" w:hint="cs"/>
          <w:b/>
          <w:spacing w:val="0"/>
          <w:sz w:val="22"/>
          <w:szCs w:val="24"/>
          <w:rtl/>
        </w:rPr>
        <w:t>יורוקום טכנולוגיות</w:t>
      </w:r>
      <w:r w:rsidRPr="00531BD3">
        <w:rPr>
          <w:rFonts w:hint="cs"/>
          <w:rtl/>
        </w:rPr>
        <w:t xml:space="preserve">); ביורוקום </w:t>
      </w:r>
      <w:proofErr w:type="spellStart"/>
      <w:r w:rsidRPr="00531BD3">
        <w:rPr>
          <w:rFonts w:hint="cs"/>
          <w:rtl/>
        </w:rPr>
        <w:t>די.בי.אס</w:t>
      </w:r>
      <w:proofErr w:type="spellEnd"/>
      <w:r w:rsidRPr="00531BD3">
        <w:rPr>
          <w:rFonts w:hint="cs"/>
          <w:rtl/>
        </w:rPr>
        <w:t xml:space="preserve"> (אשר כאמור החזיקה, עובר לביצוע עסקת בזק-יס, בחלק ממניות חברת יס); ובחברת חלל. בין החברות בשליטת קבוצת יורוקום נמנית אף חברת בזק וחברות בשליטתה (ובכללן חברת יס שבזק החזיקה במרבית מניותיה), ולפיכך גם הן היו מצויות כולן בשליטתו של </w:t>
      </w:r>
      <w:proofErr w:type="spellStart"/>
      <w:r w:rsidRPr="00531BD3">
        <w:rPr>
          <w:rFonts w:hint="cs"/>
          <w:rtl/>
        </w:rPr>
        <w:t>אלוביץ</w:t>
      </w:r>
      <w:proofErr w:type="spellEnd"/>
      <w:r w:rsidRPr="00531BD3">
        <w:rPr>
          <w:rtl/>
        </w:rPr>
        <w:t>'</w:t>
      </w:r>
      <w:r w:rsidRPr="00531BD3">
        <w:rPr>
          <w:rFonts w:hint="cs"/>
          <w:rtl/>
        </w:rPr>
        <w:t xml:space="preserve"> מכוח שרשור החברות. לצד שליטתו בחברות האמורות, כיהן </w:t>
      </w:r>
      <w:proofErr w:type="spellStart"/>
      <w:r w:rsidRPr="00531BD3">
        <w:rPr>
          <w:rFonts w:hint="cs"/>
          <w:rtl/>
        </w:rPr>
        <w:t>אלוביץ</w:t>
      </w:r>
      <w:proofErr w:type="spellEnd"/>
      <w:r w:rsidRPr="00531BD3">
        <w:rPr>
          <w:rFonts w:hint="cs"/>
          <w:rtl/>
        </w:rPr>
        <w:t>' כיו"ר דירקטוריון יורוקום אחזקות; כיו"ר דירקטוריון בזק; כדירקטור בחברת חלל; כדירקטור בחברת יס והחל מיום 3.2.2016 אף כיו</w:t>
      </w:r>
      <w:r w:rsidRPr="00531BD3">
        <w:rPr>
          <w:rtl/>
        </w:rPr>
        <w:t>"</w:t>
      </w:r>
      <w:r w:rsidRPr="00531BD3">
        <w:rPr>
          <w:rFonts w:hint="cs"/>
          <w:rtl/>
        </w:rPr>
        <w:t>ר הדירקטוריון שלה.</w:t>
      </w:r>
    </w:p>
    <w:p w:rsidR="008A4DD4" w:rsidRPr="00531BD3" w:rsidRDefault="008A4DD4" w:rsidP="008A4DD4">
      <w:pPr>
        <w:pStyle w:val="Ruller41"/>
      </w:pPr>
    </w:p>
    <w:p w:rsidR="008A4DD4" w:rsidRPr="00531BD3" w:rsidRDefault="008A4DD4" w:rsidP="008A4DD4">
      <w:pPr>
        <w:pStyle w:val="Ruller4"/>
        <w:numPr>
          <w:ilvl w:val="0"/>
          <w:numId w:val="0"/>
        </w:numPr>
      </w:pPr>
      <w:r w:rsidRPr="00531BD3">
        <w:rPr>
          <w:rtl/>
        </w:rPr>
        <w:tab/>
      </w:r>
      <w:r w:rsidRPr="00531BD3">
        <w:rPr>
          <w:rFonts w:hint="cs"/>
          <w:rtl/>
        </w:rPr>
        <w:t xml:space="preserve">אין חולק כי עסקת בזק-יס ועסקת יס-חלל הוגדרו כעסקאות בין חברה ציבורית לבין חברות שלבעל השליטה יש בהן עניין אישי, וזאת נוכח שליטתו של </w:t>
      </w:r>
      <w:proofErr w:type="spellStart"/>
      <w:r w:rsidRPr="00531BD3">
        <w:rPr>
          <w:rFonts w:hint="cs"/>
          <w:rtl/>
        </w:rPr>
        <w:t>אלוביץ</w:t>
      </w:r>
      <w:proofErr w:type="spellEnd"/>
      <w:r w:rsidRPr="00531BD3">
        <w:rPr>
          <w:rtl/>
        </w:rPr>
        <w:t>'</w:t>
      </w:r>
      <w:r w:rsidRPr="00531BD3">
        <w:rPr>
          <w:rFonts w:hint="cs"/>
          <w:rtl/>
        </w:rPr>
        <w:t xml:space="preserve"> בחברות אלה ונוכח היותו דירקטור הן ביס והן בחלל. נוסף על כך, גם משיב 2 ומשיב </w:t>
      </w:r>
      <w:r w:rsidRPr="00531BD3">
        <w:rPr>
          <w:rFonts w:hint="cs"/>
          <w:rtl/>
        </w:rPr>
        <w:lastRenderedPageBreak/>
        <w:t xml:space="preserve">3, שכיהנו כדירקטורים בבזק, היו בעלי עניין אישי בעסקאות </w:t>
      </w:r>
      <w:r w:rsidRPr="00531BD3">
        <w:rPr>
          <w:rtl/>
        </w:rPr>
        <w:t>–</w:t>
      </w:r>
      <w:r w:rsidRPr="00531BD3">
        <w:rPr>
          <w:rFonts w:hint="cs"/>
          <w:rtl/>
        </w:rPr>
        <w:t xml:space="preserve"> משיב 2 היה בעל עניין אישי בשתי העסקאות בהיותו בנו של </w:t>
      </w:r>
      <w:proofErr w:type="spellStart"/>
      <w:r w:rsidRPr="00531BD3">
        <w:rPr>
          <w:rFonts w:hint="cs"/>
          <w:rtl/>
        </w:rPr>
        <w:t>אלוביץ</w:t>
      </w:r>
      <w:proofErr w:type="spellEnd"/>
      <w:r w:rsidRPr="00531BD3">
        <w:rPr>
          <w:rtl/>
        </w:rPr>
        <w:t>'</w:t>
      </w:r>
      <w:r w:rsidRPr="00531BD3">
        <w:rPr>
          <w:rFonts w:hint="cs"/>
          <w:rtl/>
        </w:rPr>
        <w:t xml:space="preserve"> ונוכח כהונתו גם </w:t>
      </w:r>
      <w:r w:rsidRPr="00531BD3">
        <w:rPr>
          <w:rFonts w:hint="eastAsia"/>
          <w:rtl/>
        </w:rPr>
        <w:t>כיו</w:t>
      </w:r>
      <w:r w:rsidRPr="00531BD3">
        <w:rPr>
          <w:rtl/>
        </w:rPr>
        <w:t>"</w:t>
      </w:r>
      <w:r w:rsidRPr="00531BD3">
        <w:rPr>
          <w:rFonts w:hint="eastAsia"/>
          <w:rtl/>
        </w:rPr>
        <w:t>ר</w:t>
      </w:r>
      <w:r w:rsidRPr="00531BD3">
        <w:rPr>
          <w:rtl/>
        </w:rPr>
        <w:t xml:space="preserve"> </w:t>
      </w:r>
      <w:r w:rsidRPr="00531BD3">
        <w:rPr>
          <w:rFonts w:hint="eastAsia"/>
          <w:rtl/>
        </w:rPr>
        <w:t>דירקטוריון</w:t>
      </w:r>
      <w:r w:rsidRPr="00531BD3">
        <w:rPr>
          <w:rtl/>
        </w:rPr>
        <w:t xml:space="preserve"> </w:t>
      </w:r>
      <w:r w:rsidRPr="00531BD3">
        <w:rPr>
          <w:rFonts w:hint="eastAsia"/>
          <w:rtl/>
        </w:rPr>
        <w:t>חלל</w:t>
      </w:r>
      <w:r w:rsidRPr="00531BD3">
        <w:rPr>
          <w:rFonts w:hint="cs"/>
          <w:rtl/>
        </w:rPr>
        <w:t>; ומשיב 3 היה בעל עניין אישי בעסקת בזק-יס נוכח כהונתו כדירקטור בחברות שונות בקבוצת יורוקום.</w:t>
      </w:r>
    </w:p>
    <w:p w:rsidR="008A4DD4" w:rsidRPr="00531BD3" w:rsidRDefault="008A4DD4" w:rsidP="008A4DD4">
      <w:pPr>
        <w:pStyle w:val="Ruller4"/>
        <w:numPr>
          <w:ilvl w:val="0"/>
          <w:numId w:val="0"/>
        </w:numPr>
      </w:pPr>
    </w:p>
    <w:p w:rsidR="008A4DD4" w:rsidRPr="00531BD3" w:rsidRDefault="008A4DD4" w:rsidP="008A4DD4">
      <w:pPr>
        <w:pStyle w:val="Ruller4"/>
        <w:rPr>
          <w:rtl/>
        </w:rPr>
      </w:pPr>
      <w:r w:rsidRPr="00531BD3">
        <w:rPr>
          <w:rFonts w:hint="cs"/>
          <w:rtl/>
        </w:rPr>
        <w:t xml:space="preserve">הואיל ומדובר היה בעסקאות בין חברה ציבורית לבין חברות בשליטת בעל השליטה בה, שחלות עליהן הוראות סעיפים 270(4) ו-275 לחוק החברות, התשנ"ט-1999 (להלן: </w:t>
      </w:r>
      <w:r w:rsidRPr="00531BD3">
        <w:rPr>
          <w:rFonts w:ascii="Century" w:hAnsi="Century" w:cs="Miriam" w:hint="cs"/>
          <w:b/>
          <w:spacing w:val="0"/>
          <w:sz w:val="22"/>
          <w:szCs w:val="24"/>
          <w:rtl/>
        </w:rPr>
        <w:t>חוק החברות</w:t>
      </w:r>
      <w:r w:rsidRPr="00531BD3">
        <w:rPr>
          <w:rFonts w:hint="cs"/>
          <w:rtl/>
        </w:rPr>
        <w:t xml:space="preserve"> או </w:t>
      </w:r>
      <w:r w:rsidRPr="00531BD3">
        <w:rPr>
          <w:rFonts w:ascii="Century" w:hAnsi="Century" w:cs="Miriam" w:hint="cs"/>
          <w:b/>
          <w:spacing w:val="0"/>
          <w:sz w:val="22"/>
          <w:szCs w:val="24"/>
          <w:rtl/>
        </w:rPr>
        <w:t>החוק</w:t>
      </w:r>
      <w:r w:rsidRPr="00531BD3">
        <w:rPr>
          <w:rFonts w:hint="cs"/>
          <w:rtl/>
        </w:rPr>
        <w:t>), נדרשה בזק ל"אישור משולש" לביצוע העסקאות, היינו על ידי ועדת הביקורת</w:t>
      </w:r>
      <w:r w:rsidRPr="00531BD3">
        <w:rPr>
          <w:rtl/>
        </w:rPr>
        <w:t xml:space="preserve">, </w:t>
      </w:r>
      <w:r w:rsidRPr="00531BD3">
        <w:rPr>
          <w:rFonts w:hint="cs"/>
          <w:rtl/>
        </w:rPr>
        <w:t>ה</w:t>
      </w:r>
      <w:r w:rsidRPr="00531BD3">
        <w:rPr>
          <w:rFonts w:hint="eastAsia"/>
          <w:rtl/>
        </w:rPr>
        <w:t>דירקטוריון</w:t>
      </w:r>
      <w:r w:rsidRPr="00531BD3">
        <w:rPr>
          <w:rtl/>
        </w:rPr>
        <w:t xml:space="preserve"> </w:t>
      </w:r>
      <w:r w:rsidRPr="00531BD3">
        <w:rPr>
          <w:rFonts w:hint="eastAsia"/>
          <w:rtl/>
        </w:rPr>
        <w:t>ו</w:t>
      </w:r>
      <w:r w:rsidRPr="00531BD3">
        <w:rPr>
          <w:rFonts w:hint="cs"/>
          <w:rtl/>
        </w:rPr>
        <w:t>ה</w:t>
      </w:r>
      <w:r w:rsidRPr="00531BD3">
        <w:rPr>
          <w:rFonts w:hint="eastAsia"/>
          <w:rtl/>
        </w:rPr>
        <w:t>אסיפה</w:t>
      </w:r>
      <w:r w:rsidRPr="00531BD3">
        <w:rPr>
          <w:rtl/>
        </w:rPr>
        <w:t xml:space="preserve"> </w:t>
      </w:r>
      <w:r w:rsidRPr="00531BD3">
        <w:rPr>
          <w:rFonts w:hint="eastAsia"/>
          <w:rtl/>
        </w:rPr>
        <w:t>הכללית</w:t>
      </w:r>
      <w:r w:rsidRPr="00531BD3">
        <w:rPr>
          <w:rFonts w:hint="cs"/>
          <w:rtl/>
        </w:rPr>
        <w:t xml:space="preserve"> שלה</w:t>
      </w:r>
      <w:r w:rsidRPr="00531BD3">
        <w:rPr>
          <w:rtl/>
        </w:rPr>
        <w:t>.</w:t>
      </w:r>
      <w:r w:rsidRPr="00531BD3">
        <w:rPr>
          <w:rFonts w:hint="cs"/>
          <w:rtl/>
        </w:rPr>
        <w:t xml:space="preserve"> בנוסף, על רקע העניין האישי של משיבים 3-1 כמתואר לעיל, החליט דירקטוריון בזק לגבי כל אחת מהעסקאות להקים ועדה מיוחדת בלתי תלויה (להלן: </w:t>
      </w:r>
      <w:r w:rsidRPr="00531BD3">
        <w:rPr>
          <w:rFonts w:ascii="Century" w:hAnsi="Century" w:cs="Miriam" w:hint="cs"/>
          <w:b/>
          <w:spacing w:val="0"/>
          <w:sz w:val="22"/>
          <w:szCs w:val="24"/>
          <w:rtl/>
        </w:rPr>
        <w:t>הוועדה המיוחדת</w:t>
      </w:r>
      <w:r w:rsidRPr="00531BD3">
        <w:rPr>
          <w:rFonts w:hint="cs"/>
          <w:rtl/>
        </w:rPr>
        <w:t xml:space="preserve"> או </w:t>
      </w:r>
      <w:r w:rsidRPr="00531BD3">
        <w:rPr>
          <w:rFonts w:ascii="Century" w:hAnsi="Century" w:cs="Miriam" w:hint="cs"/>
          <w:b/>
          <w:spacing w:val="0"/>
          <w:sz w:val="22"/>
          <w:szCs w:val="24"/>
          <w:rtl/>
        </w:rPr>
        <w:t>הוועדה</w:t>
      </w:r>
      <w:r w:rsidRPr="00531BD3">
        <w:rPr>
          <w:rFonts w:hint="cs"/>
          <w:rtl/>
        </w:rPr>
        <w:t xml:space="preserve">) שתוסמך לבחון חלופות להתקשרויות ולנהל את המשא ומתן בשם בזק, על מנת להבטיח קיומו של הליך תחרותי ובלתי תלוי בביצוע העסקאות. </w:t>
      </w:r>
      <w:r w:rsidRPr="00531BD3">
        <w:rPr>
          <w:rFonts w:hint="eastAsia"/>
          <w:rtl/>
        </w:rPr>
        <w:t>בהתאם</w:t>
      </w:r>
      <w:r w:rsidRPr="00531BD3">
        <w:rPr>
          <w:rtl/>
        </w:rPr>
        <w:t xml:space="preserve"> </w:t>
      </w:r>
      <w:r w:rsidRPr="00531BD3">
        <w:rPr>
          <w:rFonts w:hint="eastAsia"/>
          <w:rtl/>
        </w:rPr>
        <w:t>לכך</w:t>
      </w:r>
      <w:r w:rsidRPr="00531BD3">
        <w:rPr>
          <w:rtl/>
        </w:rPr>
        <w:t xml:space="preserve">, </w:t>
      </w:r>
      <w:r w:rsidRPr="00531BD3">
        <w:rPr>
          <w:rFonts w:hint="eastAsia"/>
          <w:rtl/>
        </w:rPr>
        <w:t>בעסקת</w:t>
      </w:r>
      <w:r w:rsidRPr="00531BD3">
        <w:rPr>
          <w:rtl/>
        </w:rPr>
        <w:t xml:space="preserve"> </w:t>
      </w:r>
      <w:r w:rsidRPr="00531BD3">
        <w:rPr>
          <w:rFonts w:hint="eastAsia"/>
          <w:rtl/>
        </w:rPr>
        <w:t>בזק</w:t>
      </w:r>
      <w:r w:rsidRPr="00531BD3">
        <w:rPr>
          <w:rtl/>
        </w:rPr>
        <w:t>-</w:t>
      </w:r>
      <w:r w:rsidRPr="00531BD3">
        <w:rPr>
          <w:rFonts w:hint="eastAsia"/>
          <w:rtl/>
        </w:rPr>
        <w:t>יס</w:t>
      </w:r>
      <w:r w:rsidRPr="00531BD3">
        <w:rPr>
          <w:rtl/>
        </w:rPr>
        <w:t xml:space="preserve"> </w:t>
      </w:r>
      <w:r w:rsidRPr="00531BD3">
        <w:rPr>
          <w:rFonts w:hint="eastAsia"/>
          <w:rtl/>
        </w:rPr>
        <w:t>קבע</w:t>
      </w:r>
      <w:r w:rsidRPr="00531BD3">
        <w:rPr>
          <w:rtl/>
        </w:rPr>
        <w:t xml:space="preserve"> </w:t>
      </w:r>
      <w:r w:rsidRPr="00531BD3">
        <w:rPr>
          <w:rFonts w:hint="eastAsia"/>
          <w:rtl/>
        </w:rPr>
        <w:t>דירקטוריון</w:t>
      </w:r>
      <w:r w:rsidRPr="00531BD3">
        <w:rPr>
          <w:rtl/>
        </w:rPr>
        <w:t xml:space="preserve"> </w:t>
      </w:r>
      <w:r w:rsidRPr="00531BD3">
        <w:rPr>
          <w:rFonts w:hint="eastAsia"/>
          <w:rtl/>
        </w:rPr>
        <w:t>בזק</w:t>
      </w:r>
      <w:r w:rsidRPr="00531BD3">
        <w:rPr>
          <w:rtl/>
        </w:rPr>
        <w:t xml:space="preserve"> </w:t>
      </w:r>
      <w:r w:rsidRPr="00531BD3">
        <w:rPr>
          <w:rFonts w:hint="eastAsia"/>
          <w:rtl/>
        </w:rPr>
        <w:t>כי</w:t>
      </w:r>
      <w:r w:rsidRPr="00531BD3">
        <w:rPr>
          <w:rtl/>
        </w:rPr>
        <w:t xml:space="preserve"> </w:t>
      </w:r>
      <w:r w:rsidRPr="00531BD3">
        <w:rPr>
          <w:rFonts w:hint="eastAsia"/>
          <w:rtl/>
        </w:rPr>
        <w:t>בעלי</w:t>
      </w:r>
      <w:r w:rsidRPr="00531BD3">
        <w:rPr>
          <w:rtl/>
        </w:rPr>
        <w:t xml:space="preserve"> </w:t>
      </w:r>
      <w:r w:rsidRPr="00531BD3">
        <w:rPr>
          <w:rFonts w:hint="eastAsia"/>
          <w:rtl/>
        </w:rPr>
        <w:t>העניין</w:t>
      </w:r>
      <w:r w:rsidRPr="00531BD3">
        <w:rPr>
          <w:rtl/>
        </w:rPr>
        <w:t xml:space="preserve"> </w:t>
      </w:r>
      <w:r w:rsidRPr="00531BD3">
        <w:rPr>
          <w:rFonts w:hint="eastAsia"/>
          <w:rtl/>
        </w:rPr>
        <w:t>האישי</w:t>
      </w:r>
      <w:r w:rsidRPr="00531BD3">
        <w:rPr>
          <w:rtl/>
        </w:rPr>
        <w:t xml:space="preserve"> "</w:t>
      </w:r>
      <w:proofErr w:type="spellStart"/>
      <w:r w:rsidRPr="00531BD3">
        <w:rPr>
          <w:rFonts w:hint="eastAsia"/>
          <w:rtl/>
        </w:rPr>
        <w:t>ימודרו</w:t>
      </w:r>
      <w:proofErr w:type="spellEnd"/>
      <w:r w:rsidRPr="00531BD3">
        <w:rPr>
          <w:rtl/>
        </w:rPr>
        <w:t xml:space="preserve">" </w:t>
      </w:r>
      <w:r w:rsidRPr="00531BD3">
        <w:rPr>
          <w:rFonts w:hint="eastAsia"/>
          <w:rtl/>
        </w:rPr>
        <w:t>מעבודת</w:t>
      </w:r>
      <w:r w:rsidRPr="00531BD3">
        <w:rPr>
          <w:rtl/>
        </w:rPr>
        <w:t xml:space="preserve"> </w:t>
      </w:r>
      <w:r w:rsidRPr="00531BD3">
        <w:rPr>
          <w:rFonts w:hint="eastAsia"/>
          <w:rtl/>
        </w:rPr>
        <w:t>הוועדות</w:t>
      </w:r>
      <w:r w:rsidRPr="00531BD3">
        <w:rPr>
          <w:rtl/>
        </w:rPr>
        <w:t xml:space="preserve">. </w:t>
      </w:r>
      <w:r w:rsidRPr="00531BD3">
        <w:rPr>
          <w:rFonts w:hint="eastAsia"/>
          <w:rtl/>
        </w:rPr>
        <w:t>משיבה</w:t>
      </w:r>
      <w:r w:rsidRPr="00531BD3">
        <w:rPr>
          <w:rFonts w:hint="cs"/>
          <w:rtl/>
        </w:rPr>
        <w:t xml:space="preserve"> 4 שימשה כמזכירה של כל אחת מהוועדות ומתוקף תפקידה </w:t>
      </w:r>
      <w:proofErr w:type="spellStart"/>
      <w:r w:rsidRPr="00531BD3">
        <w:rPr>
          <w:rFonts w:hint="cs"/>
          <w:rtl/>
        </w:rPr>
        <w:t>היתה</w:t>
      </w:r>
      <w:proofErr w:type="spellEnd"/>
      <w:r w:rsidRPr="00531BD3">
        <w:rPr>
          <w:rFonts w:hint="cs"/>
          <w:rtl/>
        </w:rPr>
        <w:t xml:space="preserve"> אחראית על הקשר בין הוועדה למומחים שמונו מטעמה, על הפצת חומרי עבודה לחברי הוועדה, על זימון משתתפים לישיבות הוועדה וכן מילאה תפקידים נוספים בקשר לעבודת הוועדה. </w:t>
      </w:r>
    </w:p>
    <w:p w:rsidR="008A4DD4" w:rsidRPr="00531BD3" w:rsidRDefault="008A4DD4" w:rsidP="008A4DD4">
      <w:pPr>
        <w:pStyle w:val="Ruller41"/>
      </w:pPr>
    </w:p>
    <w:p w:rsidR="008A4DD4" w:rsidRPr="00531BD3" w:rsidRDefault="008A4DD4" w:rsidP="008A4DD4">
      <w:pPr>
        <w:pStyle w:val="Ruller4"/>
      </w:pPr>
      <w:r w:rsidRPr="00531BD3">
        <w:rPr>
          <w:rFonts w:hint="cs"/>
          <w:rtl/>
        </w:rPr>
        <w:t>בקשר ל</w:t>
      </w:r>
      <w:r w:rsidRPr="00531BD3">
        <w:rPr>
          <w:rFonts w:ascii="Century" w:hAnsi="Century" w:cs="Miriam" w:hint="cs"/>
          <w:b/>
          <w:spacing w:val="0"/>
          <w:sz w:val="22"/>
          <w:szCs w:val="24"/>
          <w:rtl/>
        </w:rPr>
        <w:t>עסקת בזק-יס</w:t>
      </w:r>
      <w:r w:rsidRPr="00531BD3">
        <w:rPr>
          <w:rFonts w:hint="cs"/>
          <w:rtl/>
        </w:rPr>
        <w:t xml:space="preserve">, שהביאה למכירת מניות חברת יס שהוחזקו בידי יורוקום </w:t>
      </w:r>
      <w:proofErr w:type="spellStart"/>
      <w:r w:rsidRPr="00531BD3">
        <w:rPr>
          <w:rFonts w:hint="cs"/>
          <w:rtl/>
        </w:rPr>
        <w:t>די.בי.אס</w:t>
      </w:r>
      <w:proofErr w:type="spellEnd"/>
      <w:r w:rsidRPr="00531BD3">
        <w:rPr>
          <w:rFonts w:hint="cs"/>
          <w:rtl/>
        </w:rPr>
        <w:t xml:space="preserve"> לידי בזק, מונה לתפקיד יו"ר הוועדה המיוחדת הדירקטור החיצוני של בזק יצחק אידלמן, וכחברי ועדה מונו הדירקטורים החיצוניים מרדכי קרת וטלי סימון. בין יום 31.10.2013 ליום 26.1.2015 קיימה הוועדה 42 ישיבות, ונועצה במומחים פיננסיים ומשפטיים שונים לבחינת חלופות לעסקה ועיצוב מתווה העסקה. במקביל, בשנת 2013 התנהלו מגעים עם הממונה על ההגבלים העסקיים (כשמו אז) במטרה לאשר את רכישת מלוא מניות חברת יס על ידי חברת בזק, וביום 26.3.2014, עוד במהלך עבודת הוועדה, אישר הממונה את בקשת המיזוג בין חברת בזק לבין חברת יס תוך התניית המיזוג בתנאים. </w:t>
      </w:r>
    </w:p>
    <w:p w:rsidR="008A4DD4" w:rsidRPr="00531BD3" w:rsidRDefault="008A4DD4" w:rsidP="008A4DD4">
      <w:pPr>
        <w:pStyle w:val="Ruller4"/>
        <w:numPr>
          <w:ilvl w:val="0"/>
          <w:numId w:val="0"/>
        </w:numPr>
      </w:pPr>
    </w:p>
    <w:p w:rsidR="008A4DD4" w:rsidRPr="00531BD3" w:rsidRDefault="008A4DD4" w:rsidP="008A4DD4">
      <w:pPr>
        <w:pStyle w:val="Ruller4"/>
        <w:numPr>
          <w:ilvl w:val="0"/>
          <w:numId w:val="0"/>
        </w:numPr>
      </w:pPr>
      <w:r w:rsidRPr="00531BD3">
        <w:rPr>
          <w:rtl/>
        </w:rPr>
        <w:tab/>
      </w:r>
      <w:r w:rsidRPr="00531BD3">
        <w:rPr>
          <w:rFonts w:hint="cs"/>
          <w:rtl/>
        </w:rPr>
        <w:t xml:space="preserve">בשלב מסוים עלו המגעים בין הצדדים למשא ומתן על שרטון, ולאחר שחודשו התנהל המשא ומתן בין חברי הוועדה המיוחדת לבין משיבים 2 ו-3, כנציגי קבוצת יורוקום. לבסוף, בפגישה שהתקיימה בין יו"ר הוועדה לבין משיב 2 ביום 15.1.2015, הוסכם על מתווה לרכישת מלוא מניות יס כאשר </w:t>
      </w:r>
      <w:proofErr w:type="spellStart"/>
      <w:r w:rsidRPr="00531BD3">
        <w:rPr>
          <w:rFonts w:hint="cs"/>
          <w:rtl/>
        </w:rPr>
        <w:t>אלוביץ</w:t>
      </w:r>
      <w:proofErr w:type="spellEnd"/>
      <w:r w:rsidRPr="00531BD3">
        <w:rPr>
          <w:rtl/>
        </w:rPr>
        <w:t>'</w:t>
      </w:r>
      <w:r w:rsidRPr="00531BD3">
        <w:rPr>
          <w:rFonts w:hint="cs"/>
          <w:rtl/>
        </w:rPr>
        <w:t xml:space="preserve"> היה מעודכן בפרטי המשא ומתן שהתנהל מול בזק ואישר את שלביו השונים. בהמשך לכך, ביום 10.2.2015 עסקת </w:t>
      </w:r>
      <w:r w:rsidRPr="00531BD3">
        <w:rPr>
          <w:rFonts w:hint="cs"/>
          <w:rtl/>
        </w:rPr>
        <w:lastRenderedPageBreak/>
        <w:t xml:space="preserve">בזק-יס אושרה על ידי הוועדה המיוחדת, ועדת הביקורת והדירקטוריון של בזק. לאחר מכן פרסמה בזק דיווח </w:t>
      </w:r>
      <w:proofErr w:type="spellStart"/>
      <w:r w:rsidRPr="00531BD3">
        <w:rPr>
          <w:rFonts w:hint="cs"/>
          <w:rtl/>
        </w:rPr>
        <w:t>מיידי</w:t>
      </w:r>
      <w:proofErr w:type="spellEnd"/>
      <w:r w:rsidRPr="00531BD3">
        <w:rPr>
          <w:rFonts w:hint="cs"/>
          <w:rtl/>
        </w:rPr>
        <w:t xml:space="preserve"> בדבר כינוס אסיפה כללית מיוחדת של בעלי המניות של החברה לצורך אישור העסקה, אשר כלל דוח עסקה בו פירטה בזק בין היתר את מהלך עבודתה של הוועדה הבלתי תלויה. בדוח זה גם פורט מתווה העסקה לפיו התמורה המרבית שתשלם חברת בזק ליורוקום </w:t>
      </w:r>
      <w:proofErr w:type="spellStart"/>
      <w:r w:rsidRPr="00531BD3">
        <w:rPr>
          <w:rFonts w:hint="cs"/>
          <w:rtl/>
        </w:rPr>
        <w:t>די.בי.אס</w:t>
      </w:r>
      <w:proofErr w:type="spellEnd"/>
      <w:r w:rsidRPr="00531BD3">
        <w:rPr>
          <w:rFonts w:hint="cs"/>
          <w:rtl/>
        </w:rPr>
        <w:t xml:space="preserve"> עבור מניות יס תהא בסך כולל של 1,050 מיליון ש</w:t>
      </w:r>
      <w:r w:rsidRPr="00531BD3">
        <w:rPr>
          <w:rtl/>
        </w:rPr>
        <w:t>"</w:t>
      </w:r>
      <w:r w:rsidRPr="00531BD3">
        <w:rPr>
          <w:rFonts w:hint="cs"/>
          <w:rtl/>
        </w:rPr>
        <w:t>ח, באופן הבא: סך של 680 מיליון ש</w:t>
      </w:r>
      <w:r w:rsidRPr="00531BD3">
        <w:rPr>
          <w:rtl/>
        </w:rPr>
        <w:t>"</w:t>
      </w:r>
      <w:r w:rsidRPr="00531BD3">
        <w:rPr>
          <w:rFonts w:hint="cs"/>
          <w:rtl/>
        </w:rPr>
        <w:t xml:space="preserve">ח שישולם באופן </w:t>
      </w:r>
      <w:proofErr w:type="spellStart"/>
      <w:r w:rsidRPr="00531BD3">
        <w:rPr>
          <w:rFonts w:hint="cs"/>
          <w:rtl/>
        </w:rPr>
        <w:t>מיידי</w:t>
      </w:r>
      <w:proofErr w:type="spellEnd"/>
      <w:r w:rsidRPr="00531BD3">
        <w:rPr>
          <w:rFonts w:hint="cs"/>
          <w:rtl/>
        </w:rPr>
        <w:t xml:space="preserve"> במזומן; סך נוסף של עד 200 מיליון ש</w:t>
      </w:r>
      <w:r w:rsidRPr="00531BD3">
        <w:rPr>
          <w:rtl/>
        </w:rPr>
        <w:t>"</w:t>
      </w:r>
      <w:r w:rsidRPr="00531BD3">
        <w:rPr>
          <w:rFonts w:hint="cs"/>
          <w:rtl/>
        </w:rPr>
        <w:t>ח שישולם בהתאם לסך ההפסדים המועברים של יס אשר יותרו לקיזוז כנגד הכנסותיה החייבות במס של בזק; וסך נוסף של עד 170 מיליון ש</w:t>
      </w:r>
      <w:r w:rsidRPr="00531BD3">
        <w:rPr>
          <w:rtl/>
        </w:rPr>
        <w:t>"</w:t>
      </w:r>
      <w:r w:rsidRPr="00531BD3">
        <w:rPr>
          <w:rFonts w:hint="cs"/>
          <w:rtl/>
        </w:rPr>
        <w:t xml:space="preserve">ח שישולם בהתאם לגובה תזרים המזומנים החופשי המצטבר של יס בשנים 2017-2015. בסופו של דבר ביום 24.3.2015 העסקה אושרה באסיפה הכללית, וזאת חרף חוות דעתה של חברת הייעוץ </w:t>
      </w:r>
      <w:proofErr w:type="spellStart"/>
      <w:r w:rsidRPr="00531BD3">
        <w:rPr>
          <w:rFonts w:hint="cs"/>
          <w:rtl/>
        </w:rPr>
        <w:t>אנטרופי</w:t>
      </w:r>
      <w:proofErr w:type="spellEnd"/>
      <w:r w:rsidRPr="00531BD3">
        <w:rPr>
          <w:rFonts w:hint="cs"/>
          <w:rtl/>
        </w:rPr>
        <w:t xml:space="preserve"> שירותי מחקר כלכלי בע"מ (להלן: </w:t>
      </w:r>
      <w:proofErr w:type="spellStart"/>
      <w:r w:rsidRPr="00531BD3">
        <w:rPr>
          <w:rFonts w:ascii="Century" w:hAnsi="Century" w:cs="Miriam" w:hint="cs"/>
          <w:b/>
          <w:spacing w:val="0"/>
          <w:sz w:val="22"/>
          <w:szCs w:val="24"/>
          <w:rtl/>
        </w:rPr>
        <w:t>אנטרופי</w:t>
      </w:r>
      <w:proofErr w:type="spellEnd"/>
      <w:r w:rsidRPr="00531BD3">
        <w:rPr>
          <w:rFonts w:hint="cs"/>
          <w:rtl/>
        </w:rPr>
        <w:t xml:space="preserve">) מיום 16.3.2015 בה הומלץ לבעלי המניות שלא לאשר את העסקה בשל פער מהותי ובלתי סביר בין מחיר העסקה המוצע לבין המחיר המיטבי. לאחר השלמת עסקת בזק-יס עברה חברת יס לבעלותה המלאה של בזק כאמור. </w:t>
      </w:r>
    </w:p>
    <w:p w:rsidR="008A4DD4" w:rsidRPr="00531BD3" w:rsidRDefault="008A4DD4" w:rsidP="008A4DD4">
      <w:pPr>
        <w:pStyle w:val="Ruller4"/>
        <w:numPr>
          <w:ilvl w:val="0"/>
          <w:numId w:val="0"/>
        </w:numPr>
      </w:pPr>
    </w:p>
    <w:p w:rsidR="008A4DD4" w:rsidRPr="00531BD3" w:rsidRDefault="008A4DD4" w:rsidP="008A4DD4">
      <w:pPr>
        <w:pStyle w:val="Ruller4"/>
      </w:pPr>
      <w:r w:rsidRPr="00531BD3">
        <w:rPr>
          <w:rFonts w:hint="cs"/>
          <w:rtl/>
        </w:rPr>
        <w:t xml:space="preserve">בקשר </w:t>
      </w:r>
      <w:r w:rsidRPr="00531BD3">
        <w:rPr>
          <w:rFonts w:ascii="Century" w:hAnsi="Century" w:cs="Miriam" w:hint="eastAsia"/>
          <w:b/>
          <w:spacing w:val="0"/>
          <w:sz w:val="22"/>
          <w:szCs w:val="24"/>
          <w:rtl/>
        </w:rPr>
        <w:t>לעסקת</w:t>
      </w:r>
      <w:r w:rsidRPr="00531BD3">
        <w:rPr>
          <w:rFonts w:ascii="Century" w:hAnsi="Century" w:cs="Miriam"/>
          <w:b/>
          <w:spacing w:val="0"/>
          <w:sz w:val="22"/>
          <w:szCs w:val="24"/>
          <w:rtl/>
        </w:rPr>
        <w:t xml:space="preserve"> </w:t>
      </w:r>
      <w:r w:rsidRPr="00531BD3">
        <w:rPr>
          <w:rFonts w:ascii="Century" w:hAnsi="Century" w:cs="Miriam" w:hint="eastAsia"/>
          <w:b/>
          <w:spacing w:val="0"/>
          <w:sz w:val="22"/>
          <w:szCs w:val="24"/>
          <w:rtl/>
        </w:rPr>
        <w:t>יס</w:t>
      </w:r>
      <w:r w:rsidRPr="00531BD3">
        <w:rPr>
          <w:rFonts w:ascii="Century" w:hAnsi="Century" w:cs="Miriam"/>
          <w:b/>
          <w:spacing w:val="0"/>
          <w:sz w:val="22"/>
          <w:szCs w:val="24"/>
          <w:rtl/>
        </w:rPr>
        <w:t>-</w:t>
      </w:r>
      <w:r w:rsidRPr="00531BD3">
        <w:rPr>
          <w:rFonts w:ascii="Century" w:hAnsi="Century" w:cs="Miriam" w:hint="eastAsia"/>
          <w:b/>
          <w:spacing w:val="0"/>
          <w:sz w:val="22"/>
          <w:szCs w:val="24"/>
          <w:rtl/>
        </w:rPr>
        <w:t>חלל</w:t>
      </w:r>
      <w:r w:rsidRPr="00531BD3">
        <w:rPr>
          <w:rFonts w:hint="cs"/>
          <w:rtl/>
        </w:rPr>
        <w:t>, שנרקמה כאמור על רקע הצורך של חברת יס (שהבעלות בה הועברה כאמור במלואה לבזק) לרכוש מקטעי שידור לווייני נוספים באמצעותם ישודרו ערוציה, מונתה גם כן ועדה בלתי תלויה: ליו</w:t>
      </w:r>
      <w:r w:rsidRPr="00531BD3">
        <w:rPr>
          <w:rtl/>
        </w:rPr>
        <w:t>"</w:t>
      </w:r>
      <w:r w:rsidRPr="00531BD3">
        <w:rPr>
          <w:rFonts w:hint="cs"/>
          <w:rtl/>
        </w:rPr>
        <w:t xml:space="preserve">ר הוועדה מונה הדירקטור החיצוני </w:t>
      </w:r>
      <w:proofErr w:type="spellStart"/>
      <w:r w:rsidRPr="00531BD3">
        <w:rPr>
          <w:rFonts w:hint="cs"/>
          <w:rtl/>
        </w:rPr>
        <w:t>ג'וש</w:t>
      </w:r>
      <w:proofErr w:type="spellEnd"/>
      <w:r w:rsidRPr="00531BD3">
        <w:rPr>
          <w:rFonts w:hint="cs"/>
          <w:rtl/>
        </w:rPr>
        <w:t xml:space="preserve"> </w:t>
      </w:r>
      <w:proofErr w:type="spellStart"/>
      <w:r w:rsidRPr="00531BD3">
        <w:rPr>
          <w:rFonts w:hint="cs"/>
          <w:rtl/>
        </w:rPr>
        <w:t>רוזנצוייג</w:t>
      </w:r>
      <w:proofErr w:type="spellEnd"/>
      <w:r w:rsidRPr="00531BD3">
        <w:rPr>
          <w:rFonts w:hint="cs"/>
          <w:rtl/>
        </w:rPr>
        <w:t xml:space="preserve">, וחבריה היו הדירקטורים החיצוניים חגי הרמן וטלי סימון. </w:t>
      </w:r>
    </w:p>
    <w:p w:rsidR="008A4DD4" w:rsidRPr="00531BD3" w:rsidRDefault="008A4DD4" w:rsidP="008A4DD4">
      <w:pPr>
        <w:pStyle w:val="Ruller4"/>
        <w:numPr>
          <w:ilvl w:val="0"/>
          <w:numId w:val="0"/>
        </w:numPr>
        <w:rPr>
          <w:rtl/>
        </w:rPr>
      </w:pPr>
    </w:p>
    <w:p w:rsidR="008A4DD4" w:rsidRPr="00531BD3" w:rsidRDefault="008A4DD4" w:rsidP="008A4DD4">
      <w:pPr>
        <w:pStyle w:val="Ruller4"/>
        <w:numPr>
          <w:ilvl w:val="0"/>
          <w:numId w:val="0"/>
        </w:numPr>
      </w:pPr>
      <w:r w:rsidRPr="00531BD3">
        <w:rPr>
          <w:rtl/>
        </w:rPr>
        <w:tab/>
      </w:r>
      <w:r w:rsidRPr="00531BD3">
        <w:rPr>
          <w:rFonts w:hint="cs"/>
          <w:rtl/>
        </w:rPr>
        <w:t xml:space="preserve">בין התאריכים 28.11.2016 ל-9.7.2017, קיימה הוועדה המיוחדת את הליך הבדיקה, תוך שהיא נעזרה ביועץ חיצוני. ביום 16.1.2017 פרסמה בזק דיווח בדבר המשא ומתן המתנהל בין חברת יס לחברת חלל, כמו גם על ההחלטה למנות ועדה מיוחדת. לאחר שמסר היועץ החיצוני חוות דעת כתובה ממנה עלה כי התמורה בהתקשרות עם חברת חלל עולה בקנה אחד עם מחירי השוק וכי תנאי ההתקשרות הוגנים וסבירים, ביום 9.2.2017 החליטה הוועדה המיוחדת לאשר את תנאי ההתקשרות עם חברת חלל, והמליצה על כך לוועדת הביקורת ולדירקטוריון בזק. בהמשך, המליצה ועדת הביקורת לדירקטוריון בזק לאשר את העסקה, וביום 14.2.2017 היא אכן אושרה על ידו. לאחר מכן פרסמה בזק דיווח </w:t>
      </w:r>
      <w:proofErr w:type="spellStart"/>
      <w:r w:rsidRPr="00531BD3">
        <w:rPr>
          <w:rFonts w:hint="cs"/>
          <w:rtl/>
        </w:rPr>
        <w:t>מיידי</w:t>
      </w:r>
      <w:proofErr w:type="spellEnd"/>
      <w:r w:rsidRPr="00531BD3">
        <w:rPr>
          <w:rFonts w:hint="cs"/>
          <w:rtl/>
        </w:rPr>
        <w:t xml:space="preserve"> לכינוס אסיפה כללית מיוחדת לצורך אישור העסקה, אשר כלל דוח עסקה שבו פורט מהלך עבודתה של הוועדה המיוחדת. ביני לביני, הודיעה נציגת </w:t>
      </w:r>
      <w:proofErr w:type="spellStart"/>
      <w:r w:rsidRPr="00531BD3">
        <w:rPr>
          <w:rFonts w:hint="cs"/>
          <w:rtl/>
        </w:rPr>
        <w:t>אנטרופי</w:t>
      </w:r>
      <w:proofErr w:type="spellEnd"/>
      <w:r w:rsidRPr="00531BD3">
        <w:rPr>
          <w:rFonts w:hint="cs"/>
          <w:rtl/>
        </w:rPr>
        <w:t xml:space="preserve"> למשיבה 4 כי היא החליטה להתנגד גם לעסקה המוצעת מול חלל נוכח התנאים שנקבעו בה, אולם בעקבות מגעים שניהלו עמה גורמים מטעם בזק, שינתה </w:t>
      </w:r>
      <w:proofErr w:type="spellStart"/>
      <w:r w:rsidRPr="00531BD3">
        <w:rPr>
          <w:rFonts w:hint="cs"/>
          <w:rtl/>
        </w:rPr>
        <w:t>אנטרופי</w:t>
      </w:r>
      <w:proofErr w:type="spellEnd"/>
      <w:r w:rsidRPr="00531BD3">
        <w:rPr>
          <w:rFonts w:hint="cs"/>
          <w:rtl/>
        </w:rPr>
        <w:t xml:space="preserve"> את עמדתה וביום 27.3.2017 המליצה לגופים המוסדיים שהחזיקו במניות בזק </w:t>
      </w:r>
      <w:r w:rsidRPr="00531BD3">
        <w:rPr>
          <w:rFonts w:hint="cs"/>
          <w:rtl/>
        </w:rPr>
        <w:lastRenderedPageBreak/>
        <w:t xml:space="preserve">להצביע בעד העסקה. ביום 3.4.2017 פרסמה בזק דיווח לפיו האסיפה הכללית בבזק אישרה את עסקת יס-חלל. </w:t>
      </w:r>
    </w:p>
    <w:p w:rsidR="008A4DD4" w:rsidRPr="00531BD3" w:rsidRDefault="008A4DD4" w:rsidP="008A4DD4">
      <w:pPr>
        <w:pStyle w:val="Ruller4"/>
        <w:numPr>
          <w:ilvl w:val="0"/>
          <w:numId w:val="0"/>
        </w:numPr>
        <w:rPr>
          <w:rtl/>
        </w:rPr>
      </w:pPr>
    </w:p>
    <w:p w:rsidR="008A4DD4" w:rsidRPr="00531BD3" w:rsidRDefault="008A4DD4" w:rsidP="008A4DD4">
      <w:pPr>
        <w:pStyle w:val="Ruller41"/>
        <w:rPr>
          <w:rFonts w:ascii="Century" w:hAnsi="Century" w:cs="Miriam"/>
          <w:b/>
          <w:spacing w:val="0"/>
          <w:szCs w:val="24"/>
          <w:rtl/>
        </w:rPr>
      </w:pPr>
      <w:r w:rsidRPr="00531BD3">
        <w:rPr>
          <w:rFonts w:ascii="Century" w:hAnsi="Century" w:cs="Miriam" w:hint="cs"/>
          <w:b/>
          <w:spacing w:val="0"/>
          <w:szCs w:val="24"/>
          <w:rtl/>
        </w:rPr>
        <w:t>כתב האישום</w:t>
      </w:r>
    </w:p>
    <w:p w:rsidR="008A4DD4" w:rsidRPr="00531BD3" w:rsidRDefault="008A4DD4" w:rsidP="008A4DD4">
      <w:pPr>
        <w:pStyle w:val="Ruller4"/>
        <w:rPr>
          <w:rtl/>
        </w:rPr>
      </w:pPr>
      <w:r w:rsidRPr="00531BD3">
        <w:rPr>
          <w:rFonts w:hint="cs"/>
          <w:rtl/>
        </w:rPr>
        <w:t xml:space="preserve">כתב האישום כולל חלק כללי ושלושה אישומים ומחזיק לא פחות מ-184 סעיפים הנפרשים על פני 31 עמודים. האישום הראשון בכתב האישום, שאינו רלוונטי לענייננו, מייחס </w:t>
      </w:r>
      <w:proofErr w:type="spellStart"/>
      <w:r w:rsidRPr="00531BD3">
        <w:rPr>
          <w:rFonts w:hint="cs"/>
          <w:rtl/>
        </w:rPr>
        <w:t>לאלוביץ</w:t>
      </w:r>
      <w:proofErr w:type="spellEnd"/>
      <w:r w:rsidRPr="00531BD3">
        <w:rPr>
          <w:rtl/>
        </w:rPr>
        <w:t>'</w:t>
      </w:r>
      <w:r w:rsidRPr="00531BD3">
        <w:rPr>
          <w:rFonts w:hint="cs"/>
          <w:rtl/>
        </w:rPr>
        <w:t xml:space="preserve"> ולמשיבות 7-5 (וכן לנאשמים נוספים שאינם נמנים על המשיבים בערעור שלפנינו), עבירות בקשר לדחיות והקדמות של תשלומים לספקים של חברת יס בשנים הרלוונטיות לכתב האישום באופן שהיה בו על פי הטענה כדי להשפיע על אחד מרכיבי התמורה ששולמה בעסקת בזק-יס. גם לגבי אישום זה נטען על ידי הנאשמים בו כטענה מקדמית כי העובדות בו אינן מגלות עבירה (כמו לגבי האישום השני והאישום השלישי העומדים במוקד הערעור, וכפי שיפורט להלן), אולם בהחלטת בית המשפט המחוזי נקבע כי לא ניתן להכריע בטענות אלו מבלי לשמוע ראיות. על כן נקבע כי לגבי אישום זה יתנהל הליך הוכחות. </w:t>
      </w:r>
    </w:p>
    <w:p w:rsidR="008A4DD4" w:rsidRPr="00531BD3" w:rsidRDefault="008A4DD4" w:rsidP="008A4DD4">
      <w:pPr>
        <w:pStyle w:val="Ruller4"/>
        <w:numPr>
          <w:ilvl w:val="0"/>
          <w:numId w:val="0"/>
        </w:numPr>
      </w:pPr>
    </w:p>
    <w:p w:rsidR="008A4DD4" w:rsidRPr="00531BD3" w:rsidRDefault="008A4DD4" w:rsidP="008A4DD4">
      <w:pPr>
        <w:pStyle w:val="Ruller4"/>
      </w:pPr>
      <w:r w:rsidRPr="00531BD3">
        <w:rPr>
          <w:rFonts w:hint="cs"/>
          <w:rtl/>
        </w:rPr>
        <w:t xml:space="preserve">במרכז </w:t>
      </w:r>
      <w:proofErr w:type="spellStart"/>
      <w:r w:rsidRPr="00531BD3">
        <w:rPr>
          <w:rFonts w:hint="cs"/>
          <w:rtl/>
        </w:rPr>
        <w:t>האישומים</w:t>
      </w:r>
      <w:proofErr w:type="spellEnd"/>
      <w:r w:rsidRPr="00531BD3">
        <w:rPr>
          <w:rFonts w:hint="cs"/>
          <w:rtl/>
        </w:rPr>
        <w:t xml:space="preserve"> השני והשלישי, עמדה התנהלות הקשורה ל"הדלפת" מידע וחומרים מתוך דיוניהן של שתי הוועדות המיוחדות, ללא ידיעת הוועדות, לידי </w:t>
      </w:r>
      <w:proofErr w:type="spellStart"/>
      <w:r w:rsidRPr="00531BD3">
        <w:rPr>
          <w:rFonts w:hint="cs"/>
          <w:rtl/>
        </w:rPr>
        <w:t>אלוביץ</w:t>
      </w:r>
      <w:proofErr w:type="spellEnd"/>
      <w:r w:rsidRPr="00531BD3">
        <w:rPr>
          <w:rFonts w:hint="cs"/>
          <w:rtl/>
        </w:rPr>
        <w:t xml:space="preserve">' ומשיבים 3-2 לגבי עסקת בזק-יס; ולידי </w:t>
      </w:r>
      <w:proofErr w:type="spellStart"/>
      <w:r w:rsidRPr="00531BD3">
        <w:rPr>
          <w:rFonts w:hint="cs"/>
          <w:rtl/>
        </w:rPr>
        <w:t>אלוביץ</w:t>
      </w:r>
      <w:proofErr w:type="spellEnd"/>
      <w:r w:rsidRPr="00531BD3">
        <w:rPr>
          <w:rFonts w:hint="cs"/>
          <w:rtl/>
        </w:rPr>
        <w:t xml:space="preserve">' ומשיב 2 לגבי עסקת יס-חלל (למען הנוחות, </w:t>
      </w:r>
      <w:proofErr w:type="spellStart"/>
      <w:r w:rsidRPr="00531BD3">
        <w:rPr>
          <w:rFonts w:hint="cs"/>
          <w:rtl/>
        </w:rPr>
        <w:t>אלוביץ</w:t>
      </w:r>
      <w:proofErr w:type="spellEnd"/>
      <w:r w:rsidRPr="00531BD3">
        <w:rPr>
          <w:rFonts w:hint="cs"/>
          <w:rtl/>
        </w:rPr>
        <w:t xml:space="preserve">' ומשיבים 3-2 יכונו להלן ביחד: </w:t>
      </w:r>
      <w:r w:rsidRPr="00531BD3">
        <w:rPr>
          <w:rFonts w:ascii="Century" w:hAnsi="Century" w:cs="Miriam" w:hint="eastAsia"/>
          <w:b/>
          <w:spacing w:val="0"/>
          <w:sz w:val="22"/>
          <w:szCs w:val="24"/>
          <w:rtl/>
        </w:rPr>
        <w:t>המשיבים</w:t>
      </w:r>
      <w:r w:rsidRPr="00531BD3">
        <w:rPr>
          <w:rFonts w:hint="cs"/>
          <w:rtl/>
        </w:rPr>
        <w:t xml:space="preserve"> או </w:t>
      </w:r>
      <w:r w:rsidRPr="00531BD3">
        <w:rPr>
          <w:rFonts w:ascii="Century" w:hAnsi="Century" w:cs="Miriam" w:hint="eastAsia"/>
          <w:b/>
          <w:spacing w:val="0"/>
          <w:sz w:val="22"/>
          <w:szCs w:val="24"/>
          <w:rtl/>
        </w:rPr>
        <w:t>בעלי</w:t>
      </w:r>
      <w:r w:rsidRPr="00531BD3">
        <w:rPr>
          <w:rFonts w:ascii="Century" w:hAnsi="Century" w:cs="Miriam"/>
          <w:b/>
          <w:spacing w:val="0"/>
          <w:sz w:val="22"/>
          <w:szCs w:val="24"/>
          <w:rtl/>
        </w:rPr>
        <w:t xml:space="preserve"> </w:t>
      </w:r>
      <w:r w:rsidRPr="00531BD3">
        <w:rPr>
          <w:rFonts w:ascii="Century" w:hAnsi="Century" w:cs="Miriam" w:hint="eastAsia"/>
          <w:b/>
          <w:spacing w:val="0"/>
          <w:sz w:val="22"/>
          <w:szCs w:val="24"/>
          <w:rtl/>
        </w:rPr>
        <w:t>העניין</w:t>
      </w:r>
      <w:r w:rsidRPr="00531BD3">
        <w:rPr>
          <w:rFonts w:hint="cs"/>
          <w:rtl/>
        </w:rPr>
        <w:t xml:space="preserve">, וזאת גם כאשר לפי העניין וההקשר מדובר </w:t>
      </w:r>
      <w:proofErr w:type="spellStart"/>
      <w:r w:rsidRPr="00531BD3">
        <w:rPr>
          <w:rFonts w:hint="cs"/>
          <w:rtl/>
        </w:rPr>
        <w:t>באלוביץ</w:t>
      </w:r>
      <w:proofErr w:type="spellEnd"/>
      <w:r w:rsidRPr="00531BD3">
        <w:rPr>
          <w:rFonts w:hint="cs"/>
          <w:rtl/>
        </w:rPr>
        <w:t xml:space="preserve">' ובמשיב 2 בלבד). כך, על פי האמור בכתב האישום, במהלך כל שלבי עבודת הוועדות הדליפה משיבה 4 למשיבים פרטים חסויים על אודות פעילות הוועדות; עדכנה אותם באופן שוטף בנעשה בדיוני הוועדות; והעבירה להם פרוטוקולים של ישיבות הוועדות וחומרים חסויים שהוכנו לקראת דיוניה. זאת בניגוד לחובתה לשמור על סודיות דיוני הוועדה ובניגוד למצג על פיו בעלי העניין האישי בעסקאות היו ממודרים מפעילות הוועדה. עוד על פי כתב האישום, בדיווחים שפרסמה בזק עם תום דיוני הוועדות, להם צורף דוח עסקה אשר תיאר את עבודת הוועדות, לא נכללו הפרטים המהותיים על אודות מעורבותם של המשיבים בעבודת הוועדות, ובכך יצרו דוחות עסקה אלו מצג שווא שעל פיו בעלי העניין </w:t>
      </w:r>
      <w:proofErr w:type="spellStart"/>
      <w:r w:rsidRPr="00531BD3">
        <w:rPr>
          <w:rFonts w:hint="cs"/>
          <w:rtl/>
        </w:rPr>
        <w:t>מודרו</w:t>
      </w:r>
      <w:proofErr w:type="spellEnd"/>
      <w:r w:rsidRPr="00531BD3">
        <w:rPr>
          <w:rFonts w:hint="cs"/>
          <w:rtl/>
        </w:rPr>
        <w:t xml:space="preserve"> לחלוטין מעבודות הוועדות והמשא ומתן נוהל באופן תקין המדמה עסקה בתנאי שוק. נטען כי מעשים אלו בוצעו כדי להטעות משקיע סביר. </w:t>
      </w:r>
    </w:p>
    <w:p w:rsidR="008A4DD4" w:rsidRPr="00531BD3" w:rsidRDefault="008A4DD4" w:rsidP="008A4DD4">
      <w:pPr>
        <w:pStyle w:val="Ruller4"/>
        <w:numPr>
          <w:ilvl w:val="0"/>
          <w:numId w:val="0"/>
        </w:numPr>
      </w:pPr>
    </w:p>
    <w:p w:rsidR="008A4DD4" w:rsidRPr="00531BD3" w:rsidRDefault="008A4DD4" w:rsidP="008A4DD4">
      <w:pPr>
        <w:pStyle w:val="Ruller4"/>
      </w:pPr>
      <w:r w:rsidRPr="00531BD3">
        <w:rPr>
          <w:rFonts w:hint="cs"/>
          <w:rtl/>
        </w:rPr>
        <w:t xml:space="preserve">על פי האמור בכתב האישום, בהדלפת החומרים לעיל מתוך דיוני הוועדות המיוחדות על ידי משיבה 4 ובקבלת המידע על ידי המשיבים, פעלו גורמים אלה בהפרת אמונים תוך כדי מילוי תפקידם בבזק, באופן שהיה בו כדי לפגוע בבזק. המשיבים קיבלו </w:t>
      </w:r>
      <w:r w:rsidRPr="00531BD3">
        <w:rPr>
          <w:rFonts w:hint="cs"/>
          <w:rtl/>
        </w:rPr>
        <w:lastRenderedPageBreak/>
        <w:t xml:space="preserve">במרמה בנסיבות מחמירות מידע שהיה נחלתן של הוועדות המיוחדות בלבד כאשר היה גלום במידע יתרון תחרותי לחברות עמן ניהלו הוועדות את המשא ומתן. המשיבים אף פעלו להסתיר את מעשיהם בדרכים שונות. לגבי עסקת בזק-יס, המשיבים חלקו ביניהם את המידע שהודלף להם, וכן העבירו אותו הלאה לגורמים שעבדו עם קבוצות יורוקום ויעצו לה על מנת שגורמים אלה יוכלו להשתמש במידע זה במשא ומתן מול בזק. לגבי עסקת יס-חלל, לעיתים השתמשו </w:t>
      </w:r>
      <w:proofErr w:type="spellStart"/>
      <w:r w:rsidRPr="00531BD3">
        <w:rPr>
          <w:rFonts w:hint="cs"/>
          <w:rtl/>
        </w:rPr>
        <w:t>אלוביץ</w:t>
      </w:r>
      <w:proofErr w:type="spellEnd"/>
      <w:r w:rsidRPr="00531BD3">
        <w:rPr>
          <w:rFonts w:hint="cs"/>
          <w:rtl/>
        </w:rPr>
        <w:t xml:space="preserve">' ומשיב 2 במידע שנמסר להם מול גורמים נוספים בהנהלות חלל ויס. כמו כן, לגבי עסקה זו השניים אף נהגו לדון עם משיבה 4 על דרכי פעולה אפשריות ולעיתים אף להנחות אותה כיצד לפעול בניסיון להשפיע על החלטות הוועדה. במספר מקרים אף הבטיחה משיבה 4 </w:t>
      </w:r>
      <w:proofErr w:type="spellStart"/>
      <w:r w:rsidRPr="00531BD3">
        <w:rPr>
          <w:rFonts w:hint="cs"/>
          <w:rtl/>
        </w:rPr>
        <w:t>לאלוביץ</w:t>
      </w:r>
      <w:proofErr w:type="spellEnd"/>
      <w:r w:rsidRPr="00531BD3">
        <w:rPr>
          <w:rFonts w:hint="cs"/>
          <w:rtl/>
        </w:rPr>
        <w:t xml:space="preserve">' ולמשיב 2 שתפעל כמצוותם. </w:t>
      </w:r>
    </w:p>
    <w:p w:rsidR="008A4DD4" w:rsidRPr="00531BD3" w:rsidRDefault="008A4DD4" w:rsidP="008A4DD4">
      <w:pPr>
        <w:pStyle w:val="Ruller4"/>
        <w:numPr>
          <w:ilvl w:val="0"/>
          <w:numId w:val="0"/>
        </w:numPr>
        <w:rPr>
          <w:rFonts w:ascii="Arial TUR" w:hAnsi="Arial TUR"/>
          <w:sz w:val="22"/>
          <w:rtl/>
        </w:rPr>
      </w:pPr>
    </w:p>
    <w:p w:rsidR="008A4DD4" w:rsidRPr="00531BD3" w:rsidRDefault="008A4DD4" w:rsidP="008A4DD4">
      <w:pPr>
        <w:pStyle w:val="Ruller4"/>
        <w:rPr>
          <w:rtl/>
        </w:rPr>
      </w:pPr>
      <w:r w:rsidRPr="00531BD3">
        <w:rPr>
          <w:rFonts w:hint="cs"/>
          <w:rtl/>
        </w:rPr>
        <w:t xml:space="preserve">נטען כי המשיבים "קיבלו במרמה את הנחת דעתם" של הוועדות המיוחדות, ועדת הביקורת, דירקטוריון בזק והאסיפה הכללית של בזק כי הוועדות פועלות באופן עצמאי ותקין תוך מידור בעלי העניין ומבלי שאלה יהיו מעורבים בהתנהלותה. לגבי עסקת בזק-יס הודגש כי המשיבים הביאו לכך שמוסדות בזק אישרו את העסקה על בסיס מצג כוזב לפיו הליך המשא ומתן נוהל באופן תקין המדמה עסקה בתנאי שוק ומבלי שבעלי העניין, שהיו הצד השני לעסקה, היו חשופים לדיונים חסויים של הוועדה ולחומרים חסויים שהוצגו לה. לגבי עסקת יס-חלל צוין כי משיבים 2-1 ו-4 קיבלו גם את הנחת דעתה של </w:t>
      </w:r>
      <w:proofErr w:type="spellStart"/>
      <w:r w:rsidRPr="00531BD3">
        <w:rPr>
          <w:rFonts w:hint="cs"/>
          <w:rtl/>
        </w:rPr>
        <w:t>אנטרופי</w:t>
      </w:r>
      <w:proofErr w:type="spellEnd"/>
      <w:r w:rsidRPr="00531BD3">
        <w:rPr>
          <w:rFonts w:hint="cs"/>
          <w:rtl/>
        </w:rPr>
        <w:t xml:space="preserve"> כי דיוני הוועדה המיוחדת שעמדו ביסוד העסקה התנהלו באופן עצמאי ותקין וכי החלטותיה של הוועדה התקבלו באופן ענייני ובלתי תלוי. זאת כאשר משיבה 4 אף מסרה לנציגת </w:t>
      </w:r>
      <w:proofErr w:type="spellStart"/>
      <w:r w:rsidRPr="00531BD3">
        <w:rPr>
          <w:rFonts w:hint="cs"/>
          <w:rtl/>
        </w:rPr>
        <w:t>אנטרופי</w:t>
      </w:r>
      <w:proofErr w:type="spellEnd"/>
      <w:r w:rsidRPr="00531BD3">
        <w:rPr>
          <w:rFonts w:hint="cs"/>
          <w:rtl/>
        </w:rPr>
        <w:t xml:space="preserve"> מצג כוזב פוזיטיבי בדבר עצמאות עבודת הוועדה ונטרול בעלי העניין האישי ממעורבות בענייניה. על פי האמור בכתב האישום, לוּ נחשפו נציגי </w:t>
      </w:r>
      <w:proofErr w:type="spellStart"/>
      <w:r w:rsidRPr="00531BD3">
        <w:rPr>
          <w:rFonts w:hint="cs"/>
          <w:rtl/>
        </w:rPr>
        <w:t>אנטרופי</w:t>
      </w:r>
      <w:proofErr w:type="spellEnd"/>
      <w:r w:rsidRPr="00531BD3">
        <w:rPr>
          <w:rFonts w:hint="cs"/>
          <w:rtl/>
        </w:rPr>
        <w:t xml:space="preserve"> להתנהלות כפי שהתרחשה, הדבר עשוי היה להשפיע באופן ממשי על החלטתם הסופית לתמוך בעסקה.</w:t>
      </w:r>
    </w:p>
    <w:p w:rsidR="008A4DD4" w:rsidRPr="00531BD3" w:rsidRDefault="008A4DD4" w:rsidP="008A4DD4">
      <w:pPr>
        <w:pStyle w:val="Ruller41"/>
        <w:rPr>
          <w:rtl/>
        </w:rPr>
      </w:pPr>
    </w:p>
    <w:p w:rsidR="008A4DD4" w:rsidRPr="00531BD3" w:rsidRDefault="008A4DD4" w:rsidP="008A4DD4">
      <w:pPr>
        <w:pStyle w:val="Ruller4"/>
        <w:rPr>
          <w:rtl/>
        </w:rPr>
      </w:pPr>
      <w:r w:rsidRPr="00531BD3">
        <w:rPr>
          <w:rFonts w:hint="cs"/>
          <w:rtl/>
        </w:rPr>
        <w:t xml:space="preserve">בגין המעשים המתוארים במסגרת האישום השני והשלישי יוחסו למשיבים 4-1 עבירות של קבלת דבר במרמה בנסיבות מחמירות לפי סעיף 415 לחוק העונשין, התשל"ז-1977 (להלן: </w:t>
      </w:r>
      <w:r w:rsidRPr="00531BD3">
        <w:rPr>
          <w:rFonts w:ascii="Century" w:hAnsi="Century" w:cs="Miriam" w:hint="cs"/>
          <w:b/>
          <w:spacing w:val="0"/>
          <w:sz w:val="22"/>
          <w:szCs w:val="24"/>
          <w:rtl/>
        </w:rPr>
        <w:t>חוק העונשין</w:t>
      </w:r>
      <w:r w:rsidRPr="00531BD3">
        <w:rPr>
          <w:rFonts w:hint="cs"/>
          <w:rtl/>
        </w:rPr>
        <w:t xml:space="preserve">); מרמה והפרת אמונים בתאגיד לפי סעיף 425 לחוק העונשין; הכללת פרט מטעה בדיווח כדי להטעות את ציבור המשקיעים לפי סעיף 53(א)(4) לחוק ניירות ערך, התשכ"ח-1968 (להלן: </w:t>
      </w:r>
      <w:r w:rsidRPr="00531BD3">
        <w:rPr>
          <w:rFonts w:ascii="Century" w:hAnsi="Century" w:cs="Miriam" w:hint="cs"/>
          <w:b/>
          <w:spacing w:val="0"/>
          <w:sz w:val="22"/>
          <w:szCs w:val="24"/>
          <w:rtl/>
        </w:rPr>
        <w:t>חוק ניירות ערך</w:t>
      </w:r>
      <w:r w:rsidRPr="00531BD3">
        <w:rPr>
          <w:rFonts w:hint="cs"/>
          <w:rtl/>
        </w:rPr>
        <w:t>) ביחד עם סעיף 36 לחוק ניירות ערך ותקנה 3 לתקנות ניירות ערך (עסקה בין חברות לבין בעל שליטה בה), התשס"א-2001.</w:t>
      </w:r>
    </w:p>
    <w:p w:rsidR="008A4DD4" w:rsidRPr="00531BD3" w:rsidRDefault="008A4DD4" w:rsidP="008A4DD4">
      <w:pPr>
        <w:pStyle w:val="Ruller41"/>
        <w:rPr>
          <w:rtl/>
        </w:rPr>
      </w:pPr>
    </w:p>
    <w:p w:rsidR="008A4DD4" w:rsidRPr="00531BD3" w:rsidRDefault="008A4DD4" w:rsidP="008A4DD4">
      <w:pPr>
        <w:pStyle w:val="Ruller41"/>
        <w:rPr>
          <w:rtl/>
        </w:rPr>
      </w:pPr>
      <w:r w:rsidRPr="00531BD3">
        <w:rPr>
          <w:rtl/>
        </w:rPr>
        <w:lastRenderedPageBreak/>
        <w:tab/>
      </w:r>
      <w:r w:rsidRPr="00531BD3">
        <w:rPr>
          <w:rFonts w:hint="cs"/>
          <w:rtl/>
        </w:rPr>
        <w:t xml:space="preserve">העבירות מושא האישום יוחסו גם ליורוקום </w:t>
      </w:r>
      <w:proofErr w:type="spellStart"/>
      <w:r w:rsidRPr="00531BD3">
        <w:rPr>
          <w:rFonts w:hint="cs"/>
          <w:rtl/>
        </w:rPr>
        <w:t>די.בי.אס</w:t>
      </w:r>
      <w:proofErr w:type="spellEnd"/>
      <w:r w:rsidRPr="00531BD3">
        <w:rPr>
          <w:rFonts w:hint="cs"/>
          <w:rtl/>
        </w:rPr>
        <w:t>, יורוקום אחזקות ו</w:t>
      </w:r>
      <w:r w:rsidRPr="00531BD3">
        <w:rPr>
          <w:rFonts w:ascii="Century" w:hAnsi="Century" w:hint="cs"/>
          <w:rtl/>
        </w:rPr>
        <w:t>יורוקום טכנולוגיות</w:t>
      </w:r>
      <w:r w:rsidRPr="00531BD3">
        <w:rPr>
          <w:rFonts w:hint="cs"/>
          <w:rtl/>
        </w:rPr>
        <w:t xml:space="preserve"> כאשר צוין כי אחריותן הפלילית נובעת ממעשיהם ומחשבותיהם הפליליות של אורגניהן </w:t>
      </w:r>
      <w:r w:rsidRPr="00531BD3">
        <w:rPr>
          <w:rtl/>
        </w:rPr>
        <w:t>–</w:t>
      </w:r>
      <w:r w:rsidRPr="00531BD3">
        <w:rPr>
          <w:rFonts w:hint="cs"/>
          <w:rtl/>
        </w:rPr>
        <w:t xml:space="preserve"> </w:t>
      </w:r>
      <w:proofErr w:type="spellStart"/>
      <w:r w:rsidRPr="00531BD3">
        <w:rPr>
          <w:rFonts w:hint="cs"/>
          <w:rtl/>
        </w:rPr>
        <w:t>אלוביץ</w:t>
      </w:r>
      <w:proofErr w:type="spellEnd"/>
      <w:r w:rsidRPr="00531BD3">
        <w:rPr>
          <w:rFonts w:hint="cs"/>
          <w:rtl/>
        </w:rPr>
        <w:t xml:space="preserve">' ומשיבים 3-2 לגבי האישום השני (עסקת בזק-יס). באותו האופן, לגבי יורוקום אחזקות שאורגניה הם </w:t>
      </w:r>
      <w:proofErr w:type="spellStart"/>
      <w:r w:rsidRPr="00531BD3">
        <w:rPr>
          <w:rFonts w:hint="cs"/>
          <w:rtl/>
        </w:rPr>
        <w:t>אלוביץ</w:t>
      </w:r>
      <w:proofErr w:type="spellEnd"/>
      <w:r w:rsidRPr="00531BD3">
        <w:rPr>
          <w:rFonts w:hint="cs"/>
          <w:rtl/>
        </w:rPr>
        <w:t>' ומשיב 2, יוחסו גם כן העבירות מושא האישום השלישי (עסקת יס-חלל).</w:t>
      </w:r>
    </w:p>
    <w:p w:rsidR="008A4DD4" w:rsidRPr="00531BD3" w:rsidRDefault="008A4DD4" w:rsidP="008A4DD4">
      <w:pPr>
        <w:pStyle w:val="Ruller41"/>
        <w:rPr>
          <w:rtl/>
        </w:rPr>
      </w:pPr>
    </w:p>
    <w:p w:rsidR="008A4DD4" w:rsidRPr="00531BD3" w:rsidRDefault="008A4DD4" w:rsidP="008A4DD4">
      <w:pPr>
        <w:pStyle w:val="Ruller41"/>
        <w:rPr>
          <w:rFonts w:ascii="Century" w:hAnsi="Century" w:cs="Miriam"/>
          <w:b/>
          <w:spacing w:val="0"/>
          <w:szCs w:val="24"/>
          <w:rtl/>
        </w:rPr>
      </w:pPr>
      <w:r w:rsidRPr="00531BD3">
        <w:rPr>
          <w:rFonts w:ascii="Century" w:hAnsi="Century" w:cs="Miriam" w:hint="cs"/>
          <w:b/>
          <w:spacing w:val="0"/>
          <w:szCs w:val="24"/>
          <w:rtl/>
        </w:rPr>
        <w:t>טענות הצדדים בהליך בבית המשפט המחוזי</w:t>
      </w:r>
    </w:p>
    <w:p w:rsidR="008A4DD4" w:rsidRPr="00531BD3" w:rsidRDefault="008A4DD4" w:rsidP="008A4DD4">
      <w:pPr>
        <w:pStyle w:val="Ruller4"/>
      </w:pPr>
      <w:r w:rsidRPr="00531BD3">
        <w:rPr>
          <w:rFonts w:hint="cs"/>
          <w:rtl/>
        </w:rPr>
        <w:t xml:space="preserve">המשיבים </w:t>
      </w:r>
      <w:r w:rsidRPr="00531BD3">
        <w:rPr>
          <w:rtl/>
        </w:rPr>
        <w:t>–</w:t>
      </w:r>
      <w:r w:rsidRPr="00531BD3">
        <w:rPr>
          <w:rFonts w:hint="cs"/>
          <w:rtl/>
        </w:rPr>
        <w:t xml:space="preserve"> אשר עיקר טענותיהם יובאו להלן במרוכז (תוך ציון בנפרד של טענות ספציפיות שהועלו על ידי חלקם) </w:t>
      </w:r>
      <w:r w:rsidRPr="00531BD3">
        <w:rPr>
          <w:rtl/>
        </w:rPr>
        <w:t>–</w:t>
      </w:r>
      <w:r w:rsidRPr="00531BD3">
        <w:rPr>
          <w:rFonts w:hint="cs"/>
          <w:rtl/>
        </w:rPr>
        <w:t xml:space="preserve"> העלו טענות מקדמיות דומות, על פיהן האישום השני והשלישי אינם מגלים עבירה. נטען כי חוק החברות מסדיר באופן ממצה את המנגנון הנדרש לשם אישור עסקה עם חברה בה יש לבעל השליטה עניין אישי בה, ובכלל זה קובע כי בעל השליטה לא יהיה נוכח בדיון ולא ישתתף בהצבעה בוועדת הביקורת ובדירקטוריון. מעבר לכך שהאיסור על נוכחות בעל עניין בדיון ועל השתתפות בהצבעה אינו מהווה כלל איסור פלילי, אלא שגם במישור האזרחי, אין בו כדי לאסור על קבלת מידע מתוך אותם דיונים בהם מנוע בעל העניין להשתתף. </w:t>
      </w:r>
    </w:p>
    <w:p w:rsidR="008A4DD4" w:rsidRPr="00531BD3" w:rsidRDefault="008A4DD4" w:rsidP="008A4DD4">
      <w:pPr>
        <w:pStyle w:val="Ruller4"/>
        <w:numPr>
          <w:ilvl w:val="0"/>
          <w:numId w:val="0"/>
        </w:numPr>
      </w:pPr>
    </w:p>
    <w:p w:rsidR="008A4DD4" w:rsidRPr="00531BD3" w:rsidRDefault="008A4DD4" w:rsidP="008A4DD4">
      <w:pPr>
        <w:pStyle w:val="Ruller4"/>
        <w:rPr>
          <w:rtl/>
        </w:rPr>
      </w:pPr>
      <w:r w:rsidRPr="00531BD3">
        <w:rPr>
          <w:rFonts w:hint="cs"/>
          <w:rtl/>
        </w:rPr>
        <w:t xml:space="preserve">עוד נטען כי חוק החברות אינו מחייב הקמת ועדה מיוחדת כגון זו שפעלה במקרה זה אלא מדובר ב"מוסד </w:t>
      </w:r>
      <w:proofErr w:type="spellStart"/>
      <w:r w:rsidRPr="00531BD3">
        <w:rPr>
          <w:rFonts w:hint="cs"/>
          <w:rtl/>
        </w:rPr>
        <w:t>וולנטרי</w:t>
      </w:r>
      <w:proofErr w:type="spellEnd"/>
      <w:r w:rsidRPr="00531BD3">
        <w:rPr>
          <w:rFonts w:hint="cs"/>
          <w:rtl/>
        </w:rPr>
        <w:t xml:space="preserve">", וממילא החוק אינו מטיל מגבלות נוספות על בעל עניין במקרה שבו הוחלט על מינוי ועדה כאמור. המשיבים הצביעו על עמדה מקצועית שפרסמה הרשות לניירות ערך ביום 26.10.2020 ("עמדה משפטית מספר 101-23: גילוי אודות ועדה מיוחדת לניהול משא ומתן בעסקאות בעלי שליטה"; להלן: </w:t>
      </w:r>
      <w:r w:rsidRPr="00531BD3">
        <w:rPr>
          <w:rFonts w:ascii="Century" w:hAnsi="Century" w:cs="Miriam" w:hint="cs"/>
          <w:b/>
          <w:spacing w:val="0"/>
          <w:sz w:val="22"/>
          <w:szCs w:val="24"/>
          <w:rtl/>
        </w:rPr>
        <w:t>נייר העמדה</w:t>
      </w:r>
      <w:r w:rsidRPr="00531BD3">
        <w:rPr>
          <w:rFonts w:hint="cs"/>
          <w:rtl/>
        </w:rPr>
        <w:t xml:space="preserve">), שנים לאחר התקופה הרלוונטית לכתב האישום, ובה צוין כי על הוועדה המיוחדת לקבוע הסדרים לשמירה על "סודיות דיוניה וסודיות המידע" המשמש אותה. המשיבים טענו כי נייר עמדה זה פורסם על רקע אי-בהירות ששררה קודם לכן בקשר לסוגיית סודיות דיוני הוועדה המיוחדת, כאשר ברי כי בתקופת פעילות הוועדות בענייננו לא היה מקור נורמטיבי כלשהו לחובה לשמור על סודיות. עוד ביקשו המשיבים להסתמך על פסק הדין שניתן על ידי בית משפט זה בעניין </w:t>
      </w:r>
      <w:r w:rsidRPr="00531BD3">
        <w:rPr>
          <w:rFonts w:ascii="Century" w:hAnsi="Century" w:cs="Miriam" w:hint="cs"/>
          <w:b/>
          <w:spacing w:val="0"/>
          <w:szCs w:val="24"/>
          <w:rtl/>
        </w:rPr>
        <w:t>א</w:t>
      </w:r>
      <w:r w:rsidRPr="00531BD3">
        <w:rPr>
          <w:rFonts w:ascii="Century" w:hAnsi="Century" w:cs="Miriam" w:hint="cs"/>
          <w:b/>
          <w:spacing w:val="0"/>
          <w:sz w:val="22"/>
          <w:szCs w:val="24"/>
          <w:rtl/>
        </w:rPr>
        <w:t>סם השקעות</w:t>
      </w:r>
      <w:r w:rsidRPr="00531BD3">
        <w:rPr>
          <w:rFonts w:hint="cs"/>
          <w:rtl/>
        </w:rPr>
        <w:t xml:space="preserve"> (ע"א 8762/20 </w:t>
      </w:r>
      <w:r w:rsidRPr="00531BD3">
        <w:rPr>
          <w:rFonts w:ascii="Century" w:hAnsi="Century" w:cs="Miriam" w:hint="cs"/>
          <w:b/>
          <w:spacing w:val="0"/>
          <w:sz w:val="22"/>
          <w:szCs w:val="24"/>
          <w:rtl/>
        </w:rPr>
        <w:t>עצמון נ' אסם השקעות בע"מ</w:t>
      </w:r>
      <w:r w:rsidRPr="00531BD3">
        <w:rPr>
          <w:rFonts w:hint="cs"/>
          <w:rtl/>
        </w:rPr>
        <w:t xml:space="preserve"> (9.12.2021)) ממנו עולה לטענתם כי אפילו במישור האזרחי, קבלת מידע מוועדה מיוחדת על ידי בעל שליטה כשלעצמה אינה פוגעת בעבודת הוועדה. המשיבים הדגישו בהקשר זה כי כתב האישום הסתפק בנוסח עמום וכוללני על פיו דירקטוריון בזק קבע כי המשיבים יהיו "ממודרים" מעבודת הוועדה, וזאת רק לגבי האישום השני, ומבלי שהובהר אם המשיבים היו מודעים לכלל זה.</w:t>
      </w:r>
    </w:p>
    <w:p w:rsidR="008A4DD4" w:rsidRPr="00531BD3" w:rsidRDefault="008A4DD4" w:rsidP="008A4DD4">
      <w:pPr>
        <w:pStyle w:val="Ruller41"/>
        <w:rPr>
          <w:rtl/>
        </w:rPr>
      </w:pPr>
    </w:p>
    <w:p w:rsidR="008A4DD4" w:rsidRPr="00531BD3" w:rsidRDefault="008A4DD4" w:rsidP="008A4DD4">
      <w:pPr>
        <w:pStyle w:val="Ruller4"/>
      </w:pPr>
      <w:r w:rsidRPr="00531BD3">
        <w:rPr>
          <w:rFonts w:hint="cs"/>
          <w:rtl/>
        </w:rPr>
        <w:lastRenderedPageBreak/>
        <w:t>בהתייחס לרכיבי כל אחת מהעבירות, טענו המשיבים כי כתב האישום אינו מצביע על קיומה של מרמה מצד מי מהם, כאשר העובדה שהיו מצויים בניגוד עניינים הייתה טבועה בעצם קיום העסקאות וידועה לכל; לא מבואר איזה "דבר" התקבל לצורך הרשעה בעבור קבלת דבר במרמה, כאשר אין די בהקשר זה בהוכחת קבלת הנחת דעתו של אדם וכאשר לא הובהר טיבו של היתרון התחרותי שנטען כי התקבל; ו</w:t>
      </w:r>
      <w:r w:rsidRPr="00531BD3">
        <w:rPr>
          <w:rFonts w:hint="eastAsia"/>
          <w:rtl/>
        </w:rPr>
        <w:t>לא</w:t>
      </w:r>
      <w:r w:rsidRPr="00531BD3">
        <w:rPr>
          <w:rtl/>
        </w:rPr>
        <w:t xml:space="preserve"> </w:t>
      </w:r>
      <w:r w:rsidRPr="00531BD3">
        <w:rPr>
          <w:rFonts w:hint="cs"/>
          <w:rtl/>
        </w:rPr>
        <w:t xml:space="preserve">פורט בכתב האישום </w:t>
      </w:r>
      <w:r w:rsidRPr="00531BD3">
        <w:rPr>
          <w:rFonts w:hint="eastAsia"/>
          <w:rtl/>
        </w:rPr>
        <w:t>איזו</w:t>
      </w:r>
      <w:r w:rsidRPr="00531BD3">
        <w:rPr>
          <w:rtl/>
        </w:rPr>
        <w:t xml:space="preserve"> </w:t>
      </w:r>
      <w:r w:rsidRPr="00531BD3">
        <w:rPr>
          <w:rFonts w:hint="eastAsia"/>
          <w:rtl/>
        </w:rPr>
        <w:t>פגיעה</w:t>
      </w:r>
      <w:r w:rsidRPr="00531BD3">
        <w:rPr>
          <w:rtl/>
        </w:rPr>
        <w:t xml:space="preserve"> </w:t>
      </w:r>
      <w:r w:rsidRPr="00531BD3">
        <w:rPr>
          <w:rFonts w:hint="eastAsia"/>
          <w:rtl/>
        </w:rPr>
        <w:t>נגרמה</w:t>
      </w:r>
      <w:r w:rsidRPr="00531BD3">
        <w:rPr>
          <w:rtl/>
        </w:rPr>
        <w:t xml:space="preserve"> </w:t>
      </w:r>
      <w:r w:rsidRPr="00531BD3">
        <w:rPr>
          <w:rFonts w:hint="eastAsia"/>
          <w:rtl/>
        </w:rPr>
        <w:t>לבזק</w:t>
      </w:r>
      <w:r w:rsidRPr="00531BD3">
        <w:rPr>
          <w:rtl/>
        </w:rPr>
        <w:t xml:space="preserve"> </w:t>
      </w:r>
      <w:r w:rsidRPr="00531BD3">
        <w:rPr>
          <w:rFonts w:hint="eastAsia"/>
          <w:rtl/>
        </w:rPr>
        <w:t>כתוצאה</w:t>
      </w:r>
      <w:r w:rsidRPr="00531BD3">
        <w:rPr>
          <w:rtl/>
        </w:rPr>
        <w:t xml:space="preserve"> </w:t>
      </w:r>
      <w:r w:rsidRPr="00531BD3">
        <w:rPr>
          <w:rFonts w:hint="eastAsia"/>
          <w:rtl/>
        </w:rPr>
        <w:t>ממעשי</w:t>
      </w:r>
      <w:r w:rsidRPr="00531BD3">
        <w:rPr>
          <w:rtl/>
        </w:rPr>
        <w:t xml:space="preserve"> </w:t>
      </w:r>
      <w:r w:rsidRPr="00531BD3">
        <w:rPr>
          <w:rFonts w:hint="eastAsia"/>
          <w:rtl/>
        </w:rPr>
        <w:t>המשיבים</w:t>
      </w:r>
      <w:r w:rsidRPr="00531BD3">
        <w:rPr>
          <w:rtl/>
        </w:rPr>
        <w:t>.</w:t>
      </w:r>
      <w:r w:rsidRPr="00531BD3">
        <w:rPr>
          <w:rFonts w:hint="cs"/>
          <w:rtl/>
        </w:rPr>
        <w:t xml:space="preserve"> נטען כי אין טענה ממשית כי העברת החומרים והמידע של המשיבים הביאה לפגיעה בהמלצות הוועדות לאשר את העסקאות שכן המלצות הוועדות היו ראויות ונכונות, וכך גם תוצאותיהן של העסקאות. אין גם חולק כי טובת החברה כתוצאה מאותן עסקאות לא נפגעה. כמו כן, לא הונח בסיס לטענה לפיה הדיווח בדוח העסקה היה מטעה, שכן מדובר היה בדיווח נכון ומדויק.</w:t>
      </w:r>
    </w:p>
    <w:p w:rsidR="008A4DD4" w:rsidRPr="00531BD3" w:rsidRDefault="008A4DD4" w:rsidP="008A4DD4">
      <w:pPr>
        <w:pStyle w:val="Ruller4"/>
        <w:numPr>
          <w:ilvl w:val="0"/>
          <w:numId w:val="0"/>
        </w:numPr>
      </w:pPr>
    </w:p>
    <w:p w:rsidR="008A4DD4" w:rsidRPr="00531BD3" w:rsidRDefault="008A4DD4" w:rsidP="008A4DD4">
      <w:pPr>
        <w:pStyle w:val="Ruller4"/>
        <w:rPr>
          <w:rtl/>
        </w:rPr>
      </w:pPr>
      <w:r w:rsidRPr="00531BD3">
        <w:rPr>
          <w:rFonts w:hint="cs"/>
          <w:rtl/>
        </w:rPr>
        <w:t>משיב 3 הוסיף כי אין מחלוקת כי בתקופה הרלוונטית הוא כיהן הן כדירקטור בבזק והן כדירקטור בקבוצות יור</w:t>
      </w:r>
      <w:r w:rsidR="004A441C">
        <w:rPr>
          <w:rFonts w:hint="cs"/>
          <w:rtl/>
        </w:rPr>
        <w:t>ו</w:t>
      </w:r>
      <w:r w:rsidRPr="00531BD3">
        <w:rPr>
          <w:rFonts w:hint="cs"/>
          <w:rtl/>
        </w:rPr>
        <w:t>קום, אולם מהרגע שבו מונתה הוועדה המיוחדת לצורך ניהול המשא ומתן בקשר לעסקת בזק-יס, הוא יכול היה לפעול אך ורק כנושא משרה בקבוצות יורוקום ולא בבזק. ממילא בקשר לעסקה זו הוא לא חב כל חובת אמונים לבזק ולא היה מוטל עליו לשמור על ענייניה של בזק. גם משיב 2 טען כי לא ניתן לומר כי מדובר בעבירה שעבר "אגב מילוי תפקידו בבזק", שכן בזק והוועדה התנהלו מולו ביודעו כי הוא בעל תפקיד בקבוצת יורוקום והמשא ומתן אף התנהל מולו באופן ישיר בשלב מסוים. משיבה 4 הוסיפה בקשר לטענה ל"הסתרת" העברת המידע, כי ככל שחומר הראיות אכן מלמד על הימנעות מלחשוף את העברת החומרים או המידע, הרי שהמניע לכך היה שיקולים פנים-ארגוניים, "חוסר נעימות" מול גורמים שונים וכיו"ב. מכל מקום, בהיעדר איסור על העברת המידע או החומרים, אין נפקות ל"תודעת החטא" הנטענת של המשיבים. כמו כן טענה משיבה זו כי מעבר לכך שהמערערת לא הצביעה על קיומה של חובת סודיות שהופרה, לא היה מקום להעמידה לדין בעבירות מושא כתב האישום שכן בוודאי שבעניינה לא התקיימו יסודות העבירות. לא ניתן לומר כי היא קיבלה "דבר" במרמה שכן עובדות כתב האישום אינן מצביעות על דבר כלשהו שהיא קיבלה, ובניגוד ליתר המשיבים, היתרון התחרותי כמו גם הנחת דעת הוועדות ומוסדות בזק אינם רלוונטיים אליה הואיל והיא לא הפיקה מכך דבר נוכח העובדה שאין חולק כי היא אינה נמנית על הצד השני לעסקה.</w:t>
      </w:r>
    </w:p>
    <w:p w:rsidR="008A4DD4" w:rsidRPr="00531BD3" w:rsidRDefault="008A4DD4" w:rsidP="008A4DD4">
      <w:pPr>
        <w:pStyle w:val="Ruller4"/>
        <w:numPr>
          <w:ilvl w:val="0"/>
          <w:numId w:val="0"/>
        </w:numPr>
      </w:pPr>
    </w:p>
    <w:p w:rsidR="008A4DD4" w:rsidRPr="00531BD3" w:rsidRDefault="008A4DD4" w:rsidP="008A4DD4">
      <w:pPr>
        <w:pStyle w:val="Ruller4"/>
      </w:pPr>
      <w:r w:rsidRPr="00531BD3">
        <w:rPr>
          <w:rFonts w:hint="cs"/>
          <w:rtl/>
        </w:rPr>
        <w:t xml:space="preserve">המערערת טענה מנגד כי ברי שהתשתית העובדתית שתוארה בכתב האישום בהרחבה מגבשת את הגדרת המרמה בחוק העונשין, כאשר מרמה פלילית זו עומדת בבסיס כל העבירות המיוחסות למשיבים. בזק הקימה את </w:t>
      </w:r>
      <w:r w:rsidRPr="00531BD3">
        <w:rPr>
          <w:rFonts w:hint="eastAsia"/>
          <w:rtl/>
        </w:rPr>
        <w:t xml:space="preserve">הוועדות </w:t>
      </w:r>
      <w:r w:rsidRPr="00531BD3">
        <w:rPr>
          <w:rFonts w:hint="cs"/>
          <w:rtl/>
        </w:rPr>
        <w:t xml:space="preserve">המיוחדות תחת </w:t>
      </w:r>
      <w:r w:rsidRPr="00531BD3">
        <w:rPr>
          <w:rFonts w:hint="cs"/>
          <w:rtl/>
        </w:rPr>
        <w:lastRenderedPageBreak/>
        <w:t xml:space="preserve">ההנחה שאלה יהיו סודיות וממודרות. המשיבים ידעו על הגדרות אלו ואף הציגו מצגים פוזיטיביים שלפיהם יתקיים מידור כאמור, כאשר בפועל הם פעלו על מנת לפגוע במידור זה ובסודיות הוועדות תוך יצירת מצג כוזב מתמשך לפיו הליך העבודה של הוועדות הוא תקין. טענות המשיבים לגבי עמימות הדין, </w:t>
      </w:r>
      <w:proofErr w:type="spellStart"/>
      <w:r w:rsidRPr="00531BD3">
        <w:rPr>
          <w:rFonts w:hint="cs"/>
          <w:rtl/>
        </w:rPr>
        <w:t>נפקותן</w:t>
      </w:r>
      <w:proofErr w:type="spellEnd"/>
      <w:r w:rsidRPr="00531BD3">
        <w:rPr>
          <w:rFonts w:hint="cs"/>
          <w:rtl/>
        </w:rPr>
        <w:t xml:space="preserve"> של הנחיות אסדרה המאוחרות לתקופה שבה בוצעו העבירות והתפתחותו של הדין בנושא, הן בעלות משקל מוגבל בשלב הטענות המקדמיות. טענות אלה מחייבות ליבון ראייתי ועובדתי ואין מקומן להתברר בשלב המקדמי. </w:t>
      </w:r>
    </w:p>
    <w:p w:rsidR="008A4DD4" w:rsidRPr="00531BD3" w:rsidRDefault="008A4DD4" w:rsidP="008A4DD4">
      <w:pPr>
        <w:pStyle w:val="Ruller4"/>
        <w:numPr>
          <w:ilvl w:val="0"/>
          <w:numId w:val="0"/>
        </w:numPr>
      </w:pPr>
    </w:p>
    <w:p w:rsidR="008A4DD4" w:rsidRPr="00531BD3" w:rsidRDefault="008A4DD4" w:rsidP="008A4DD4">
      <w:pPr>
        <w:pStyle w:val="Ruller4"/>
        <w:rPr>
          <w:rtl/>
        </w:rPr>
      </w:pPr>
      <w:r w:rsidRPr="00531BD3">
        <w:rPr>
          <w:rFonts w:hint="cs"/>
          <w:rtl/>
        </w:rPr>
        <w:t xml:space="preserve">מעבר לכך, המערערת עמדה על כך שהחובה לקיים הליך תחרותי ביחס לעסקאות עם בעל שליטה ולהבטיח שהעסקה תהיה לטובת החברה עמדה בתוקף באותה עת שבה אושרו העסקאות, בהפנותה להוראת סעיף 117(1ב) לחוק החברות אשר קבע חובה זו. מידורם של בעלי השליטה ונציגיהם מדיוני הוועדה המיוחדת, הינו אפוא הכרחי על מנת לאפשר קיום הליך תחרותי שידמה משא ומתן בתנאי שוק. המערערת דחתה את טענת המשיבים על פיה יש לבחון את מעשיהם באספקלריה אזרחית בלבד, בציינה כי בכך שבחוק החברות לא נכללו סעיפים </w:t>
      </w:r>
      <w:proofErr w:type="spellStart"/>
      <w:r w:rsidRPr="00531BD3">
        <w:rPr>
          <w:rFonts w:hint="cs"/>
          <w:rtl/>
        </w:rPr>
        <w:t>עונשיים</w:t>
      </w:r>
      <w:proofErr w:type="spellEnd"/>
      <w:r w:rsidRPr="00531BD3">
        <w:rPr>
          <w:rFonts w:hint="cs"/>
          <w:rtl/>
        </w:rPr>
        <w:t xml:space="preserve"> בגין הפרה של הוראותיו, אין כדי ללמד שכאשר הפרה מבוצעת בדרכי מרמה המגיעות כדי עבירה פלילית, לא ניתן לייחס עבירות כאלה לגורמים בתאגיד שביצעו אותן. בהתייחס לטענה בדבר היעדר מקור חוקי האוסר על העברת המידע, נטען כי כאשר הדלפת המידע נעשית באופן המגבש עבירה של מרמה, גם כאשר האיסור על העברת המידע עולה מאופיו של המידע ומנסיבות המקרה, ניתן לייחס למעורבים עבירות בקשר לכך.</w:t>
      </w:r>
    </w:p>
    <w:p w:rsidR="008A4DD4" w:rsidRPr="00531BD3" w:rsidRDefault="008A4DD4" w:rsidP="008A4DD4">
      <w:pPr>
        <w:pStyle w:val="Ruller41"/>
      </w:pPr>
    </w:p>
    <w:p w:rsidR="008A4DD4" w:rsidRPr="00531BD3" w:rsidRDefault="008A4DD4" w:rsidP="008A4DD4">
      <w:pPr>
        <w:pStyle w:val="Ruller4"/>
      </w:pPr>
      <w:r w:rsidRPr="00531BD3">
        <w:rPr>
          <w:rFonts w:hint="cs"/>
          <w:rtl/>
        </w:rPr>
        <w:t xml:space="preserve">המערערת עמדה על כך שכתב האישום כולל את העובדות הרלוונטיות לצורך הרשעה בעבירות מושא כתב האישום, כאשר בכל מקרה לצורך הדיון בטענות המקדמיות יש להניח כי עובדות כתב האישום הוכחו ואם המשיבים חולקים על כך, מקומן של טענותיהם להתברר בהליך העיקרי ולא בהליך מקדמי. המערערת גם טענה כי יש לדחות את טענת המשיבים כי הם לא פעלו ב"כובעם" כנושאי משרה בבזק. העובדה שהתאגיד נוקט בפעולות כדי להרחיק גורמים הנגועים בעניין אישי מעסקה מסוימת אינה מקנה לאותם גורמים את החופש לפגוע בתאגיד. ההיפך הוא הנכון, חובת האמונים של המשיבים כלפי בזק בהקשר של עסקאות בעלי עניין הייתה אמורה להתבטא בכך שהם ירחיקו את עצמם מן הוועדה וישמרו עצמם בעניין זה מכל משמר. </w:t>
      </w:r>
    </w:p>
    <w:p w:rsidR="008A4DD4" w:rsidRPr="00531BD3" w:rsidRDefault="008A4DD4" w:rsidP="008A4DD4">
      <w:pPr>
        <w:pStyle w:val="Ruller41"/>
        <w:rPr>
          <w:rtl/>
        </w:rPr>
      </w:pPr>
    </w:p>
    <w:p w:rsidR="008A4DD4" w:rsidRPr="00531BD3" w:rsidRDefault="008A4DD4" w:rsidP="008A4DD4">
      <w:pPr>
        <w:pStyle w:val="Ruller41"/>
        <w:rPr>
          <w:rFonts w:ascii="Century" w:hAnsi="Century" w:cs="Miriam"/>
          <w:b/>
          <w:spacing w:val="0"/>
          <w:szCs w:val="24"/>
          <w:rtl/>
        </w:rPr>
      </w:pPr>
      <w:r w:rsidRPr="00531BD3">
        <w:rPr>
          <w:rFonts w:ascii="Century" w:hAnsi="Century" w:cs="Miriam" w:hint="cs"/>
          <w:b/>
          <w:spacing w:val="0"/>
          <w:szCs w:val="24"/>
          <w:rtl/>
        </w:rPr>
        <w:t>החלטת בית המשפט המחוזי</w:t>
      </w:r>
    </w:p>
    <w:p w:rsidR="008A4DD4" w:rsidRPr="00531BD3" w:rsidRDefault="008A4DD4" w:rsidP="008A4DD4">
      <w:pPr>
        <w:pStyle w:val="Ruller4"/>
      </w:pPr>
      <w:r w:rsidRPr="00531BD3">
        <w:rPr>
          <w:rFonts w:hint="cs"/>
          <w:rtl/>
        </w:rPr>
        <w:lastRenderedPageBreak/>
        <w:t xml:space="preserve">בית המשפט המחוזי הורה על ביטול </w:t>
      </w:r>
      <w:proofErr w:type="spellStart"/>
      <w:r w:rsidRPr="00531BD3">
        <w:rPr>
          <w:rFonts w:hint="cs"/>
          <w:rtl/>
        </w:rPr>
        <w:t>האישומים</w:t>
      </w:r>
      <w:proofErr w:type="spellEnd"/>
      <w:r w:rsidRPr="00531BD3">
        <w:rPr>
          <w:rFonts w:hint="cs"/>
          <w:rtl/>
        </w:rPr>
        <w:t xml:space="preserve"> השני והשלישי נגד המשיבים. בבסיס ההחלטה עמדה הקביעה כי המערערת לא הצביעה על עובדה כלשהי ממנה ניתן להסיק את המסקנה כי המידע שהועבר למשיבים הוא מידע סודי אשר נועד לעיניה של הוועדה בלבד ולכן העברתו אסורה.</w:t>
      </w:r>
    </w:p>
    <w:p w:rsidR="008A4DD4" w:rsidRPr="00531BD3" w:rsidRDefault="008A4DD4" w:rsidP="008A4DD4">
      <w:pPr>
        <w:pStyle w:val="Ruller4"/>
        <w:numPr>
          <w:ilvl w:val="0"/>
          <w:numId w:val="0"/>
        </w:numPr>
      </w:pPr>
    </w:p>
    <w:p w:rsidR="008A4DD4" w:rsidRPr="00531BD3" w:rsidRDefault="008A4DD4" w:rsidP="008A4DD4">
      <w:pPr>
        <w:pStyle w:val="Ruller4"/>
      </w:pPr>
      <w:r w:rsidRPr="00531BD3">
        <w:rPr>
          <w:rFonts w:hint="cs"/>
          <w:rtl/>
        </w:rPr>
        <w:t xml:space="preserve">בית המשפט פירט את המנגנונים שנקבעו בחוק החברות לעניין השתתפות והצבעה על ידי בעלי עניין באישור עסקאות שיש להם עניין אישי בהן. בתוך כך צוין כי סעיף 278 לחוק החברות קובע כי על בעל העניין האישי להימנע מהשתתפות בישיבות ועדת הביקורת והדירקטוריון ולהימנע מלהצביע על אישור העסקה, והודגש כי זהו הסעיף היחיד העוסק במידור בעלי העניין. עוד הודגש כי בניגוד למקרים אחרים שנדונו במישור הפלילי, אין טענה שבעלי העניין לא גילו את עניינם האישי בעסקאות. על רקע העניין האישי שלהם בהן, אשר היה גלוי וידוע, העסקאות הופנו למסלול האישורים המיוחד שנקבע בחוק החברות. משעה שמדובר בעסקאות שאושרו על ידי המנגנונים שנקבעו בחוק, אף אם כלל לא היו מוקמות ועדות מיוחדת, אין עוד מקום לבחון את העסקאות לגופן, וזאת אף במישור האזרחי בלבד. בית המשפט הפנה לפסק הדין שניתן בעניין </w:t>
      </w:r>
      <w:r w:rsidRPr="00531BD3">
        <w:rPr>
          <w:rFonts w:ascii="Century" w:hAnsi="Century" w:cs="Miriam" w:hint="cs"/>
          <w:b/>
          <w:spacing w:val="0"/>
          <w:sz w:val="22"/>
          <w:szCs w:val="24"/>
          <w:rtl/>
        </w:rPr>
        <w:t>מכתשים אגן</w:t>
      </w:r>
      <w:r w:rsidRPr="00531BD3">
        <w:rPr>
          <w:rFonts w:hint="cs"/>
          <w:rtl/>
        </w:rPr>
        <w:t xml:space="preserve"> (ת"צ (כלכלי ת"א) 26809-01-11 </w:t>
      </w:r>
      <w:r w:rsidRPr="00531BD3">
        <w:rPr>
          <w:rFonts w:ascii="Century" w:hAnsi="Century" w:cs="Miriam" w:hint="cs"/>
          <w:b/>
          <w:spacing w:val="0"/>
          <w:sz w:val="22"/>
          <w:szCs w:val="24"/>
          <w:rtl/>
        </w:rPr>
        <w:t>כהנא נ' מכתשים-אגן</w:t>
      </w:r>
      <w:r w:rsidRPr="00531BD3">
        <w:rPr>
          <w:rFonts w:hint="cs"/>
          <w:rtl/>
        </w:rPr>
        <w:t xml:space="preserve"> </w:t>
      </w:r>
      <w:r w:rsidRPr="00531BD3">
        <w:rPr>
          <w:rFonts w:ascii="Century" w:hAnsi="Century" w:cs="Miriam" w:hint="cs"/>
          <w:b/>
          <w:spacing w:val="0"/>
          <w:sz w:val="22"/>
          <w:szCs w:val="24"/>
          <w:rtl/>
        </w:rPr>
        <w:t>תעשיות בע"מ</w:t>
      </w:r>
      <w:r w:rsidRPr="00531BD3">
        <w:rPr>
          <w:rFonts w:hint="cs"/>
          <w:rtl/>
        </w:rPr>
        <w:t xml:space="preserve"> (15.5.2011)) אשר בו נקבעו קווים כלליים ומאפיינים לעבודת הוועדות המיוחדות, כאשר נקבע כי אין להחיל על עבודת הוועדות המיוחדות כללים אחידים, אלא יש לבחון את התנהלות הוועדות בהתאם לנסיבות כל מקרה לגופו. בנוסף נקבע כי הדין אינו מחייב הקמת ועדה מיוחדת בעסקאות בעלי עניין וכי על פי הפסיקה, אין לדקדק יתר על המידה בעבודת הוועדה כדי להימנע מ"אפקט מצנן" ומתוך הכרה שמוסד זה מיטיב עם בעלי המניות ועם החברה בכללותה.</w:t>
      </w:r>
    </w:p>
    <w:p w:rsidR="008A4DD4" w:rsidRPr="00531BD3" w:rsidRDefault="008A4DD4" w:rsidP="008A4DD4">
      <w:pPr>
        <w:pStyle w:val="Ruller4"/>
        <w:numPr>
          <w:ilvl w:val="0"/>
          <w:numId w:val="0"/>
        </w:numPr>
      </w:pPr>
    </w:p>
    <w:p w:rsidR="008A4DD4" w:rsidRPr="00531BD3" w:rsidRDefault="008A4DD4" w:rsidP="008A4DD4">
      <w:pPr>
        <w:pStyle w:val="Ruller4"/>
        <w:rPr>
          <w:rtl/>
        </w:rPr>
      </w:pPr>
      <w:r w:rsidRPr="00531BD3">
        <w:rPr>
          <w:rFonts w:hint="cs"/>
          <w:rtl/>
        </w:rPr>
        <w:t xml:space="preserve">על רקע האמור, צוין כי המערערת לא הצביעה על מקור נורמטיבי כלשהו </w:t>
      </w:r>
      <w:r w:rsidRPr="00531BD3">
        <w:rPr>
          <w:rtl/>
        </w:rPr>
        <w:t>–</w:t>
      </w:r>
      <w:r w:rsidRPr="00531BD3">
        <w:rPr>
          <w:rFonts w:hint="cs"/>
          <w:rtl/>
        </w:rPr>
        <w:t xml:space="preserve"> דבר חקיקה או חקיקת משנה, נהלי בזק, הנחיות או כללים שקבעו הוועדות </w:t>
      </w:r>
      <w:r w:rsidRPr="00531BD3">
        <w:rPr>
          <w:rtl/>
        </w:rPr>
        <w:t>–</w:t>
      </w:r>
      <w:r w:rsidRPr="00531BD3">
        <w:rPr>
          <w:rFonts w:hint="cs"/>
          <w:rtl/>
        </w:rPr>
        <w:t xml:space="preserve"> ממנו עולה כי דיוני הוועדה המיוחדת היו סודיים. צוין כי עניין סודיות הוועדה נדון לראשונה רק בעניין </w:t>
      </w:r>
      <w:r w:rsidRPr="00531BD3">
        <w:rPr>
          <w:rFonts w:ascii="Century" w:hAnsi="Century" w:cs="Miriam" w:hint="cs"/>
          <w:b/>
          <w:spacing w:val="0"/>
          <w:sz w:val="22"/>
          <w:szCs w:val="24"/>
          <w:rtl/>
        </w:rPr>
        <w:t>אסם השקעות</w:t>
      </w:r>
      <w:r w:rsidRPr="00531BD3">
        <w:rPr>
          <w:rFonts w:hint="cs"/>
          <w:rtl/>
        </w:rPr>
        <w:t xml:space="preserve"> אשר ניתן שנים לאחר השלמת העסקאות מושא כתב האישום. מעבר לכך, בעניין </w:t>
      </w:r>
      <w:r w:rsidRPr="00531BD3">
        <w:rPr>
          <w:rFonts w:ascii="Century" w:hAnsi="Century" w:cs="Miriam" w:hint="cs"/>
          <w:b/>
          <w:spacing w:val="0"/>
          <w:sz w:val="22"/>
          <w:szCs w:val="24"/>
          <w:rtl/>
        </w:rPr>
        <w:t>אסם השקעות</w:t>
      </w:r>
      <w:r w:rsidRPr="00531BD3">
        <w:rPr>
          <w:rFonts w:hint="cs"/>
          <w:rtl/>
        </w:rPr>
        <w:t xml:space="preserve"> נדונה העברת חומרים מדיוני הוועדה לבעלי העניין ונקבע כי אין בכך כדי להביא לפסילת אישור העסקה. בהקשר זה קבע בית המשפט המחוזי כי המערערת לא הצביעה על כל עובדה המבססת את המקור לחובת הסודיות הנטענת על ידה. המערערת טענה בעיקר כי מדובר בעניין מובן מאליו המתחייב מהשכל הישר, אך בכך אין די. העובדה היחידה עליה הצביעה המערערת בהקשר זה היא כי דירקטוריון בזק קבע כי בעלי העניין יהיו "ממודרים" מעבודת הוועדה. אולם בהינתן המנגנונים הקבועים </w:t>
      </w:r>
      <w:r w:rsidRPr="00531BD3">
        <w:rPr>
          <w:rFonts w:hint="cs"/>
          <w:rtl/>
        </w:rPr>
        <w:lastRenderedPageBreak/>
        <w:t xml:space="preserve">בחוק החברות לעניין מידור בעלי עניין מהליך אישור עסקאות שבהן יש להם עניין אישי, לא ניתן ללמוד מקביעה זו, גם אם תוכח, על איסור העברת מידע שהגיע לוועדה או על סודיות דיוניה. זאת בין היתר נוכח ההבחנה שיש לערוך בין "מידור" לבין "סודיות". בתוך כך צוין כי גם אין מקום להסיק קיומה של חובת סודיות לגבי דיוני הוועדה מנייר העמדה של הרשות לניירות ערך, שפורסם שנים לאחר התקופה הרלוונטית לכתב האישום, במסגרתו גילתה הרשות את דעתה כי יש לדווח גם על הסדרים שנקטה הוועדה בנוגע לסודיות דיוניה. כל שעולה מנייר העמדה הוא כי הרשות זיהתה כי קיימת פרקטיקה שאינה מוסדרת בחקיקה, וסברה כי ראוי להוציא חוות דעת בעניינה. </w:t>
      </w:r>
    </w:p>
    <w:p w:rsidR="008A4DD4" w:rsidRPr="00531BD3" w:rsidRDefault="008A4DD4" w:rsidP="008A4DD4">
      <w:pPr>
        <w:pStyle w:val="Ruller41"/>
        <w:rPr>
          <w:rtl/>
        </w:rPr>
      </w:pPr>
    </w:p>
    <w:p w:rsidR="008A4DD4" w:rsidRPr="00531BD3" w:rsidRDefault="008A4DD4" w:rsidP="008A4DD4">
      <w:pPr>
        <w:pStyle w:val="Ruller4"/>
      </w:pPr>
      <w:r w:rsidRPr="00531BD3">
        <w:rPr>
          <w:rFonts w:hint="cs"/>
          <w:rtl/>
        </w:rPr>
        <w:t xml:space="preserve">לאחר שנקבע כי המערערת לא הציגה בכתב האישום מקור לחובת סודיות של דיוני הוועדה או החומרים שהועברו לעיונה, ואף צוין כי עולה מכתב האישום כי החברות עצמן לא התייחסו אליהם כאל מידע סודי וחסוי, עבר בית המשפט לבחינה האם כתב האישום מגלה אשמה כלפי כל אחד מהמשיבים, </w:t>
      </w:r>
      <w:proofErr w:type="spellStart"/>
      <w:r w:rsidRPr="00531BD3">
        <w:rPr>
          <w:rFonts w:hint="cs"/>
          <w:rtl/>
        </w:rPr>
        <w:t>באישומים</w:t>
      </w:r>
      <w:proofErr w:type="spellEnd"/>
      <w:r w:rsidRPr="00531BD3">
        <w:rPr>
          <w:rFonts w:hint="cs"/>
          <w:rtl/>
        </w:rPr>
        <w:t xml:space="preserve"> השני והשלישי.</w:t>
      </w:r>
    </w:p>
    <w:p w:rsidR="008A4DD4" w:rsidRPr="00531BD3" w:rsidRDefault="008A4DD4" w:rsidP="008A4DD4">
      <w:pPr>
        <w:pStyle w:val="Ruller4"/>
        <w:numPr>
          <w:ilvl w:val="0"/>
          <w:numId w:val="0"/>
        </w:numPr>
      </w:pPr>
    </w:p>
    <w:p w:rsidR="008A4DD4" w:rsidRPr="00531BD3" w:rsidRDefault="008A4DD4" w:rsidP="008A4DD4">
      <w:pPr>
        <w:pStyle w:val="Ruller4"/>
      </w:pPr>
      <w:r w:rsidRPr="00531BD3">
        <w:rPr>
          <w:rFonts w:hint="cs"/>
          <w:rtl/>
        </w:rPr>
        <w:t xml:space="preserve">תחילה עמד בית המשפט על היסוד העובדתי של עבירת קבלת דבר במרמה, הכולל קבלת דבר מאחֵר באמצעות טענה כוזבת, כמו גם על הערך החברתי המוגן על ידי עבירה זו. בהתייחס לעובדות כתב האישום קבע בית המשפט כי כתב האישום אינו מגבש עבירה זו. זאת נוכח העובדה שהמערערת לא הצביעה כאמור על כל מקור לחובת סודיות החולשת על הוועדה. לא נטען כי נאסר על משיבה 4 להעביר את חומרי הוועדה או כי נאמר לה כי מדובר בחומרים סודיים; לא נטען כי מי מבעלי העניין השתתף בדיון על אישור העסקה או הצביע על אישורה; ולא נטען כי הופרו הוראות חוק החברות לעניין מידור בעלי עניין מעסקאות. על פי עובדות כתב האישום, הוועדות המיוחדות נועצו במומחים חיצוניים ועל סמך חוות דעתם העסקאות אושרו בסופו של יום. לגבי עסקת בזק-יס, </w:t>
      </w:r>
      <w:proofErr w:type="spellStart"/>
      <w:r w:rsidRPr="00531BD3">
        <w:rPr>
          <w:rFonts w:hint="cs"/>
          <w:rtl/>
        </w:rPr>
        <w:t>אנטרופי</w:t>
      </w:r>
      <w:proofErr w:type="spellEnd"/>
      <w:r w:rsidRPr="00531BD3">
        <w:rPr>
          <w:rFonts w:hint="cs"/>
          <w:rtl/>
        </w:rPr>
        <w:t xml:space="preserve"> אף המליצה שלא לאשר את העסקה, והעסקה אושרה בכל זאת. במקרים אחרים שבהם הורשעו נאשמים בעבירה זו בהקשר התאגידי, היה מדובר בנסיבות חמורות יותר, למשל של נאשמים אשר לא גילו את עניינם האישי בעסקאות, פעלו בניגוד עניינים משני צדי העסקה ולא קיבלו את האישורים הנדרשים, שלא כבמקרה זה. </w:t>
      </w:r>
    </w:p>
    <w:p w:rsidR="008A4DD4" w:rsidRPr="00531BD3" w:rsidRDefault="008A4DD4" w:rsidP="008A4DD4">
      <w:pPr>
        <w:pStyle w:val="Ruller4"/>
        <w:numPr>
          <w:ilvl w:val="0"/>
          <w:numId w:val="0"/>
        </w:numPr>
      </w:pPr>
    </w:p>
    <w:p w:rsidR="008A4DD4" w:rsidRPr="00531BD3" w:rsidRDefault="008A4DD4" w:rsidP="008A4DD4">
      <w:pPr>
        <w:pStyle w:val="Ruller4"/>
        <w:rPr>
          <w:rtl/>
        </w:rPr>
      </w:pPr>
      <w:r w:rsidRPr="00531BD3">
        <w:rPr>
          <w:rFonts w:hint="cs"/>
          <w:rtl/>
        </w:rPr>
        <w:t xml:space="preserve">באופן מפורט יותר לגבי האישום השני (עסקת בזק-יס), אין כל טענה המייחסת לבעלי העניין מעורבות בעבודת הוועדה, כאשר עצם העברת המידע אינו מהווה מצג שווא, ולוּ במחדל. המערערת לא הצביעה על כך שהתקבל "דבר" המקנה יתרון למי מהמשיבים, ולא פורט מהו אותו "יתרון תחרותי" אשר נטען כי היה גלום במידע. כל שנטען בכתב האישום הוא כי המידע הועבר לגורמים אחרים אשר יכלו להשתמש בו ואין </w:t>
      </w:r>
      <w:r w:rsidRPr="00531BD3">
        <w:rPr>
          <w:rFonts w:hint="cs"/>
          <w:rtl/>
        </w:rPr>
        <w:lastRenderedPageBreak/>
        <w:t xml:space="preserve">כל ראיה המצביעה על כך שנעשה במידע שימוש בפועל על ידי גורמים נוספים. אשר להנחת דעת האורגנים בדבר מידורם של בעלי העניין, האישום השני אינו מייחס כל פעולה שהאורגנים או חברי הוועדה התבקשו לבצע כתוצאה מהנחת הדעת הנטענת. עצם ידיעתם של המשיבים על חוות דעת שהוגשו על ידי מומחים חיצוניים, לא היה בו כדי לשנות מהמסקנה אליה הגיעה הוועדה. לגבי האישום השלישי (עסקת יס-חלל) אמנם נטען בכתב האישום כי על יסוד המידע שהודלף </w:t>
      </w:r>
      <w:proofErr w:type="spellStart"/>
      <w:r w:rsidRPr="00531BD3">
        <w:rPr>
          <w:rFonts w:hint="cs"/>
          <w:rtl/>
        </w:rPr>
        <w:t>לאלוביץ</w:t>
      </w:r>
      <w:proofErr w:type="spellEnd"/>
      <w:r w:rsidRPr="00531BD3">
        <w:rPr>
          <w:rFonts w:hint="cs"/>
          <w:rtl/>
        </w:rPr>
        <w:t xml:space="preserve">' ולמשיב 2 הם נהגו לדון עם משיבה 4 על דרכי פעולה אפשריות ולעתים אף להנחותה ולהורות לה כיצד לפעול כדי להשפיע על עבודת הוועדה. אולם בכתב האישום לא נטען כי משיבה 4 אכן פעלה כאמור. בכל מקרה, חופש הפעולה, הבחירה והאוטונומיה של חברי הוועדה לא נפגעו, וגם לגבי אישום זה לא פורט מהו אותו "יתרון תחרותי" שהיה לחלל במידע או כיצד נעשה בו שימוש. בעלי העניין היו אכן ממודרים מדיוני הוועדה, שכן עצם קבלת המידע על ידם ללא התערבות בעבודת הוועדה אינו מפר מידור זה, וממילא </w:t>
      </w:r>
      <w:r w:rsidRPr="00531BD3">
        <w:rPr>
          <w:rFonts w:hint="eastAsia"/>
          <w:rtl/>
        </w:rPr>
        <w:t>לא</w:t>
      </w:r>
      <w:r w:rsidRPr="00531BD3">
        <w:rPr>
          <w:rFonts w:hint="cs"/>
          <w:rtl/>
        </w:rPr>
        <w:t xml:space="preserve"> ניתן לקבוע כי ה"דבר" שהתקבל הוא הנחת דעתן של </w:t>
      </w:r>
      <w:proofErr w:type="spellStart"/>
      <w:r w:rsidRPr="00531BD3">
        <w:rPr>
          <w:rFonts w:hint="cs"/>
          <w:rtl/>
        </w:rPr>
        <w:t>אנטרופי</w:t>
      </w:r>
      <w:proofErr w:type="spellEnd"/>
      <w:r w:rsidRPr="00531BD3">
        <w:rPr>
          <w:rFonts w:hint="cs"/>
          <w:rtl/>
        </w:rPr>
        <w:t xml:space="preserve"> או של הוועדה כי הדיונים התנהלו באופן תקין. לבסוף נקבע כי גם אם היה ניתן לקבוע כי מתקיימים בדוחק יסודות העבירה, הרי שלאור הערך החברתי המוגן מדובר במעשים שבשולי העבירה ולא בליבתה. </w:t>
      </w:r>
    </w:p>
    <w:p w:rsidR="008A4DD4" w:rsidRPr="00531BD3" w:rsidRDefault="008A4DD4" w:rsidP="008A4DD4">
      <w:pPr>
        <w:pStyle w:val="Ruller41"/>
        <w:rPr>
          <w:rtl/>
        </w:rPr>
      </w:pPr>
    </w:p>
    <w:p w:rsidR="008A4DD4" w:rsidRPr="00531BD3" w:rsidRDefault="008A4DD4" w:rsidP="008A4DD4">
      <w:pPr>
        <w:pStyle w:val="Ruller4"/>
        <w:rPr>
          <w:rtl/>
        </w:rPr>
      </w:pPr>
      <w:r w:rsidRPr="00531BD3">
        <w:rPr>
          <w:rFonts w:hint="cs"/>
          <w:rtl/>
        </w:rPr>
        <w:t xml:space="preserve">בהתייחס לעבירת המרמה והפרת אמונים בתאגיד, נסקרה פסיקת בית משפט זה ונאמר כי מדובר בעבירה שגבולותיה עמומים, ויש להרשיע בגינה רק כאשר מדובר במעשים הפוגעים באופן מהותי בערכים המוגנים, מה שאין כן בענייננו. מעבר לכך, במקרה זה כלל לא מתקיים היסוד העובדתי של מרמה, בהיעדר חובת סודיות כאמור. כתב האישום לא ביסס מקור נורמטיבי בדבר סודיות הוועדה או חיסיון תכניה, ומשכך בהיעדר חובה כאמור לא ניתן לומר כי החומר הועבר או התקבל במרמה. אשר לחלופה של הפרת אמונים, צוין כי אמנם בעלי העניין היו בניגוד עניינים בשתי העסקאות, אולם ניגוד עניינים זה גולה כנדרש והביא להקמתן של הוועדות המיוחדות. במצב דברים זה, ובהיעדר חובת סודיות כאמור בקשר למידע, נקבע כי לא התקיים ניגוד עניינים בין מעמדם של בעלי העניין לבין עניינם האישי בקבלת המסמכים. כך גם לא התקיים יסוד עובדתי נוסף הנדרש בעבירה זו, והוא פגיעה בתאגיד. הפגיעה בתאגיד במקרה זה גם אינה ברורה, שכן בעלי העניין דיווחו על עניינם האישי בעסקאות, ועל רקע זה הוקמו ועדות מיוחדות שנועצו במומחים בלתי תלויים והמליצו על אישור העסקאות. בכל מקרה אין בכתב האישום כל טענה לפגיעה ממונית, תדמיתית או אחרת בבזק. אך גם אם היה מתקיים היסוד העובדתי של העבירה, הרי שלא מתקיים הפן המחמיר הנוסף הנדרש לצורך הרשעה בעבירה זו לפי אמות המידה שהותוו בפסיקה. אין מדובר בניגוד עניינים מהותי, שכן לא נטען בכתב האישום שהמשיבים הפיקו רווח אישי מקבלת המסמכים, </w:t>
      </w:r>
      <w:r w:rsidRPr="00531BD3">
        <w:rPr>
          <w:rFonts w:hint="cs"/>
          <w:rtl/>
        </w:rPr>
        <w:lastRenderedPageBreak/>
        <w:t>למעט טענה כללית בדבר "יתרון תחרותי" שטיבו וטבעו לא פורטו כאמור בכתב האישום, ולא הוכחה סטייה מן השורה.</w:t>
      </w:r>
    </w:p>
    <w:p w:rsidR="008A4DD4" w:rsidRPr="00531BD3" w:rsidRDefault="008A4DD4" w:rsidP="008A4DD4">
      <w:pPr>
        <w:pStyle w:val="Ruller41"/>
      </w:pPr>
    </w:p>
    <w:p w:rsidR="008A4DD4" w:rsidRPr="00531BD3" w:rsidRDefault="008A4DD4" w:rsidP="008A4DD4">
      <w:pPr>
        <w:pStyle w:val="Ruller4"/>
      </w:pPr>
      <w:r w:rsidRPr="00531BD3">
        <w:rPr>
          <w:rFonts w:hint="cs"/>
          <w:rtl/>
        </w:rPr>
        <w:t xml:space="preserve">בקשר לעבירה השלישית המיוחסת למשיבים, הכללת פרט מטעה בדיווח כדי להטעות משקיע סביר, טענת המערערת היא כי היה על בזק לכלול הבהרה כי בעלי העניין קיבלו חומרים מהוועדה ועל כך שהם היו מעורבים בעבודתה. אולם כיוון שלא הייתה כל חובת סודיות בקשר למסמכים שהועברו לוועדה, הרי שלא ניתן לומר שהדיווח היה שלא כדין. גם בהקשר זה הוזכר נייר העמדה של הרשות לניירות ערך והעובדה שעמדתה המשפטית פורסמה בשנת 2020, באופן המלמד כי עד למועד הפרסום גם הרשות לניירות ערך לא סברה כי יש לדווח על עניין זה, ולכל הפחות הייתה עמימות בקשר לכך. נוכח העובדה שביסוד עבירה זו עומד הצורך בהפצת מידע רלוונטי למשקיעים בשוק ההון, הוסיף בית המשפט כי עצם העובדה שבמהלך תהליך אישור העסקאות הועבר מידע לבעלי העניין אינו נתון אשר אמור להיות משמעותי עבור בעלי המניות, המתעניינים בעיקר בשאלה אם מדובר בעסקאות "לטובת החברה". בנוסף, בהתייחס ליסוד הנפשי הנדרש לגיבוש העבירה, נקבע כי לא מתקיימת דרישת המטרה המיוחדת של העבירה של הטעיית המשקיע הסביר, מכיוון שבאותה העת לא הותוו כללים ברורים לגבי עבודת הוועדה. </w:t>
      </w:r>
    </w:p>
    <w:p w:rsidR="008A4DD4" w:rsidRPr="00531BD3" w:rsidRDefault="008A4DD4" w:rsidP="008A4DD4">
      <w:pPr>
        <w:pStyle w:val="Ruller4"/>
        <w:numPr>
          <w:ilvl w:val="0"/>
          <w:numId w:val="0"/>
        </w:numPr>
      </w:pPr>
    </w:p>
    <w:p w:rsidR="008A4DD4" w:rsidRPr="00531BD3" w:rsidRDefault="008A4DD4" w:rsidP="008A4DD4">
      <w:pPr>
        <w:pStyle w:val="Ruller4"/>
        <w:rPr>
          <w:rtl/>
        </w:rPr>
      </w:pPr>
      <w:r w:rsidRPr="00531BD3">
        <w:rPr>
          <w:rFonts w:hint="cs"/>
          <w:rtl/>
        </w:rPr>
        <w:t xml:space="preserve">לבסוף צוין כי מקרה זה מדגים את ההתלבטות בנוגע לגבול שבין התחום הפלילי לאזרחי, כאשר יש להותיר ככל הניתן את תקינות פעולת הוועדות המיוחדות למישור האזרחי, ומהתמונה בכללותה עולה כי היה על המערערת "להימנע מחציית הגבול שבין האזרחי לפלילי". לאחר סקירת פסקי הדין בהם הורשעו נאשמים בעבירות דומות, הגם שיתכן שהיה ראוי לנהוג אחרת, נקבע כי מעשיהם של המשיבים אינם מתקרבים לרף הפלילי. </w:t>
      </w:r>
    </w:p>
    <w:p w:rsidR="008A4DD4" w:rsidRPr="00531BD3" w:rsidRDefault="008A4DD4" w:rsidP="008A4DD4">
      <w:pPr>
        <w:pStyle w:val="Ruller41"/>
        <w:rPr>
          <w:rtl/>
        </w:rPr>
      </w:pPr>
    </w:p>
    <w:p w:rsidR="008A4DD4" w:rsidRPr="00531BD3" w:rsidRDefault="008A4DD4" w:rsidP="008A4DD4">
      <w:pPr>
        <w:pStyle w:val="Ruller4"/>
        <w:numPr>
          <w:ilvl w:val="0"/>
          <w:numId w:val="0"/>
        </w:numPr>
        <w:rPr>
          <w:rtl/>
        </w:rPr>
      </w:pPr>
      <w:r w:rsidRPr="00531BD3">
        <w:rPr>
          <w:rtl/>
        </w:rPr>
        <w:tab/>
      </w:r>
      <w:r w:rsidRPr="00531BD3">
        <w:rPr>
          <w:rFonts w:hint="cs"/>
          <w:rtl/>
        </w:rPr>
        <w:t xml:space="preserve">לאור כל האמור, ביטל בית המשפט המחוזי את </w:t>
      </w:r>
      <w:proofErr w:type="spellStart"/>
      <w:r w:rsidRPr="00531BD3">
        <w:rPr>
          <w:rFonts w:hint="cs"/>
          <w:rtl/>
        </w:rPr>
        <w:t>האישומים</w:t>
      </w:r>
      <w:proofErr w:type="spellEnd"/>
      <w:r w:rsidRPr="00531BD3">
        <w:rPr>
          <w:rFonts w:hint="cs"/>
          <w:rtl/>
        </w:rPr>
        <w:t xml:space="preserve"> השני והשלישי נגד כל המשיבים הנאשמים </w:t>
      </w:r>
      <w:proofErr w:type="spellStart"/>
      <w:r w:rsidRPr="00531BD3">
        <w:rPr>
          <w:rFonts w:hint="cs"/>
          <w:rtl/>
        </w:rPr>
        <w:t>באישומים</w:t>
      </w:r>
      <w:proofErr w:type="spellEnd"/>
      <w:r w:rsidRPr="00531BD3">
        <w:rPr>
          <w:rFonts w:hint="cs"/>
          <w:rtl/>
        </w:rPr>
        <w:t xml:space="preserve"> אלו. משמעות הדבר, כי החלטתו של בית המשפט המחוזי בעניינם של משיבים 4-2 הובילה לזיכויים בדין; בעוד שבעניינם של </w:t>
      </w:r>
      <w:proofErr w:type="spellStart"/>
      <w:r w:rsidRPr="00531BD3">
        <w:rPr>
          <w:rFonts w:hint="cs"/>
          <w:rtl/>
        </w:rPr>
        <w:t>אלוביץ</w:t>
      </w:r>
      <w:proofErr w:type="spellEnd"/>
      <w:r w:rsidRPr="00531BD3">
        <w:rPr>
          <w:rFonts w:hint="cs"/>
          <w:rtl/>
        </w:rPr>
        <w:t>' ומשיבים 7-5 ההליך הפלילי ימשיך להתנהל לגבי האישום הראשון בלבד. ומכאן לערעור.</w:t>
      </w:r>
    </w:p>
    <w:p w:rsidR="008A4DD4" w:rsidRPr="00531BD3" w:rsidRDefault="008A4DD4" w:rsidP="008A4DD4">
      <w:pPr>
        <w:pStyle w:val="Ruller41"/>
        <w:rPr>
          <w:rtl/>
        </w:rPr>
      </w:pPr>
    </w:p>
    <w:p w:rsidR="008A4DD4" w:rsidRPr="00531BD3" w:rsidRDefault="008A4DD4" w:rsidP="008A4DD4">
      <w:pPr>
        <w:pStyle w:val="Ruller41"/>
        <w:rPr>
          <w:rFonts w:ascii="Century" w:hAnsi="Century" w:cs="Miriam"/>
          <w:b/>
          <w:spacing w:val="0"/>
          <w:szCs w:val="24"/>
          <w:rtl/>
        </w:rPr>
      </w:pPr>
      <w:r w:rsidRPr="00531BD3">
        <w:rPr>
          <w:rFonts w:ascii="Century" w:hAnsi="Century" w:cs="Miriam" w:hint="cs"/>
          <w:b/>
          <w:spacing w:val="0"/>
          <w:szCs w:val="24"/>
          <w:rtl/>
        </w:rPr>
        <w:t>טענות הצדדים</w:t>
      </w:r>
    </w:p>
    <w:p w:rsidR="008A4DD4" w:rsidRPr="00531BD3" w:rsidRDefault="008A4DD4" w:rsidP="008A4DD4">
      <w:pPr>
        <w:pStyle w:val="Ruller4"/>
        <w:rPr>
          <w:rtl/>
        </w:rPr>
      </w:pPr>
      <w:r w:rsidRPr="00531BD3">
        <w:rPr>
          <w:rFonts w:hint="cs"/>
          <w:rtl/>
        </w:rPr>
        <w:lastRenderedPageBreak/>
        <w:t xml:space="preserve">לטענת המערערת נסיבות מקרה זה אינן מצדיקות קבלת טענה מקדמית לפי סעיף 149(4) לחוק סדר הדין הפלילי [נוסח משולב], התשמ"ב-1982 (להלן: </w:t>
      </w:r>
      <w:proofErr w:type="spellStart"/>
      <w:r w:rsidRPr="00531BD3">
        <w:rPr>
          <w:rFonts w:ascii="Century" w:hAnsi="Century" w:cs="Miriam" w:hint="cs"/>
          <w:b/>
          <w:spacing w:val="0"/>
          <w:sz w:val="22"/>
          <w:szCs w:val="24"/>
          <w:rtl/>
        </w:rPr>
        <w:t>החסד"פ</w:t>
      </w:r>
      <w:proofErr w:type="spellEnd"/>
      <w:r w:rsidRPr="00531BD3">
        <w:rPr>
          <w:rFonts w:hint="cs"/>
          <w:rtl/>
        </w:rPr>
        <w:t>) כבר בשלב המקדמי של המשפט, שכן ביטול האישום בגין טענה שעובדות כתב האישום אינן מהוות עבירה תיעשה רק בנסיבות חריגות ומצומצמות שאינן מתקיימות בענייננו. מעבר לכך, החלטת בית המשפט המחוזי גם כוללת שגיאות שונות היורדות לשורש העניין. כך למשל, משקבע בית המשפט כי בכוונתו להכריע בטענה המקדמית לפני שמיעת ראיות, היה עליו לעשות כן על בסיס ההנחה שעובדות כתב האישום הוכחו במלואן. אלא שבית המשפט דחה טענות עובדתיות המפורטות בכתב האישום תוך שהוא מציין בשגגה כי עובדות אלו כלל אינן מהוות עובדות כי אם מסקנות משפטיות. נוסף על כך בית המשפט המחוזי הניח הנחות עובדתיות מורכבות החורגות מהמתואר בכתב האישום, והתייחס לגבי חלק מהעובדות המהותיות המפורטות בכתב האישום כאל עובדות שהראיות להוכחתן צריכות היו אף הן להיכלל בכתב האישום.</w:t>
      </w:r>
    </w:p>
    <w:p w:rsidR="008A4DD4" w:rsidRPr="00531BD3" w:rsidRDefault="008A4DD4" w:rsidP="008A4DD4">
      <w:pPr>
        <w:pStyle w:val="Ruller41"/>
        <w:rPr>
          <w:rtl/>
        </w:rPr>
      </w:pPr>
    </w:p>
    <w:p w:rsidR="008A4DD4" w:rsidRPr="00531BD3" w:rsidRDefault="008A4DD4" w:rsidP="008A4DD4">
      <w:pPr>
        <w:pStyle w:val="Ruller4"/>
      </w:pPr>
      <w:r w:rsidRPr="00531BD3">
        <w:rPr>
          <w:rFonts w:hint="cs"/>
          <w:rtl/>
        </w:rPr>
        <w:t>בניגוד לקביעת בית המשפט המחוזי, כתב האישום כלל פירוט כנדרש בדבר העובדות המקימות את העבירות המתוארות בו, גם אם לא כלל את פירוט הראיות המבססות אותן, וזאת בהתאם לדין. העובדה שהמידע שהוחלף בדיוני הוועדות היה סודי ונועד לעיני הוועדה בלבד נשענת על ראיות רבות, אותן לא נדרשה המערערת להציג במסגרת המענה לטענות מקדמיות, אולם אין משמעות הדבר כי ראיות כאלה אינן בנמצא. ודאי שלא הייתה הצדקה להניח כי המערערת פירטה עובדות אלה בכתב האישום שלא על בסיס ראיות קיימות, כאשר בית המשפט טרם נחשף לראיות אלה.</w:t>
      </w:r>
    </w:p>
    <w:p w:rsidR="008A4DD4" w:rsidRPr="00531BD3" w:rsidRDefault="008A4DD4" w:rsidP="008A4DD4">
      <w:pPr>
        <w:pStyle w:val="Ruller4"/>
        <w:numPr>
          <w:ilvl w:val="0"/>
          <w:numId w:val="0"/>
        </w:numPr>
      </w:pPr>
    </w:p>
    <w:p w:rsidR="008A4DD4" w:rsidRPr="00531BD3" w:rsidRDefault="008A4DD4" w:rsidP="008A4DD4">
      <w:pPr>
        <w:pStyle w:val="Ruller4"/>
      </w:pPr>
      <w:r w:rsidRPr="00531BD3">
        <w:rPr>
          <w:rFonts w:hint="cs"/>
          <w:rtl/>
        </w:rPr>
        <w:t xml:space="preserve">לצד זאת נטען כי גם לא היה מקום להישען על ההבחנה בין "מסקנה" לבין "עובדה" כנימוק המצדיק את ביטול </w:t>
      </w:r>
      <w:proofErr w:type="spellStart"/>
      <w:r w:rsidRPr="00531BD3">
        <w:rPr>
          <w:rFonts w:hint="cs"/>
          <w:rtl/>
        </w:rPr>
        <w:t>האישומים</w:t>
      </w:r>
      <w:proofErr w:type="spellEnd"/>
      <w:r w:rsidRPr="00531BD3">
        <w:rPr>
          <w:rFonts w:hint="cs"/>
          <w:rtl/>
        </w:rPr>
        <w:t>. סודיות דיוני הוועדה הינה מסקנה עובדתית הנשענת על הראיות השונות בתיק. זאת כאשר ממצאים עובדתיים המגבשים את המסד העובדתי לצורך הכרעה שיפוטית ביחס לאשמתו של אדם יכולים להיקבע גם על דרך של מסקנה. עובדות המפורטות בכתב האישום יכולות להיות מוכחות בדרך של ראיות ישירות או בדרך של ראיות נסיבתיות, אך אין בכך כדי להביא לפגם כלשהו בכתב האישום.</w:t>
      </w:r>
    </w:p>
    <w:p w:rsidR="008A4DD4" w:rsidRPr="00531BD3" w:rsidRDefault="008A4DD4" w:rsidP="008A4DD4">
      <w:pPr>
        <w:pStyle w:val="Ruller4"/>
        <w:numPr>
          <w:ilvl w:val="0"/>
          <w:numId w:val="0"/>
        </w:numPr>
      </w:pPr>
    </w:p>
    <w:p w:rsidR="008A4DD4" w:rsidRPr="00531BD3" w:rsidRDefault="008A4DD4" w:rsidP="008A4DD4">
      <w:pPr>
        <w:pStyle w:val="Ruller4"/>
      </w:pPr>
      <w:r w:rsidRPr="00531BD3">
        <w:rPr>
          <w:rFonts w:hint="cs"/>
          <w:rtl/>
        </w:rPr>
        <w:t xml:space="preserve">המערערת גם הצביעה על שורה של קביעות עובדתיות שנקבעו בהחלטת בית המשפט המחוזי, על אף שקביעות אלה לא הופיעו בכתב האישום והן אף אינן עולות בקנה אחד עם עובדות כתב האישום. לעמדת המערערת, די בכך שבית המשפט דחה עובדות המפורטות בכתב האישום וקבע ממצאי עובדה מבלי שנחשף לראיה כלשהי </w:t>
      </w:r>
      <w:r w:rsidRPr="00531BD3">
        <w:rPr>
          <w:rFonts w:hint="cs"/>
          <w:rtl/>
        </w:rPr>
        <w:lastRenderedPageBreak/>
        <w:t xml:space="preserve">בתיק, על מנת להביא לקבלת הערעור. מעבר לכך, גם במישור הנורמטיבי נפלו שגגות מהותיות באופן שבו פירש בית המשפט את הדין החל על עבודת הוועדות המיוחדות ועל המשיבים כנושאי משרה בבזק. טענת המערערת כי מובן מאליו שקיימת חובת סודיות על מידע הנוגע לעבודת הוועדה המיוחדת במיוחד מצד נושאי משרה בחברה איננה טענה מופרכת, אלא מסקנה המשתלבת במארג המשפטי-נורמטיבי של מנגנוני ההגנה על בעלי המניות בעסקאות עם בעלי שליטה ושל חובות האמון המוטלות על נושאי משרה בחברה. אכן, נקודת המוצא היא כי עסקאות בעלי עניין אינן אסורות, והדין קובע שורה של הסדרים שתכליתם להתמודד עם ניגוד העניינים הטמון בהן. הסדרים </w:t>
      </w:r>
      <w:r w:rsidRPr="00531BD3">
        <w:rPr>
          <w:rFonts w:hint="eastAsia"/>
          <w:rtl/>
        </w:rPr>
        <w:t>אלה</w:t>
      </w:r>
      <w:r w:rsidRPr="00531BD3">
        <w:rPr>
          <w:rFonts w:hint="cs"/>
          <w:rtl/>
        </w:rPr>
        <w:t xml:space="preserve"> יש לפרש בהתאם לתכלית המרכזית העומדת בבסיסם שהיא יצירת תשתית של הגנה על בעלי מניות המיעוט, נטרול החשש לניגוד עניינים ומניעת ניצול כוחם של בעלי השליטה ונושאי המשרה בעסקאות אלה. על רקע זה, ונוכח תכליתו של מוסד הוועדה המיוחדת אשר נועד לדמות משא ומתן בין שני צדדים בלתי קשורים, קיימת תמימות דעים הן בפסיקה והן בספרות כי הסודיות מהווה מאפיין בסיסי של מוסד זה. עמדה זו אף אינה שונה מן הדין החל בארצות הברית, מולדתו של מוסד הוועדה המיוחדת. </w:t>
      </w:r>
    </w:p>
    <w:p w:rsidR="008A4DD4" w:rsidRPr="00531BD3" w:rsidRDefault="008A4DD4" w:rsidP="008A4DD4">
      <w:pPr>
        <w:pStyle w:val="Ruller4"/>
        <w:numPr>
          <w:ilvl w:val="0"/>
          <w:numId w:val="0"/>
        </w:numPr>
      </w:pPr>
    </w:p>
    <w:p w:rsidR="008A4DD4" w:rsidRPr="00531BD3" w:rsidRDefault="008A4DD4" w:rsidP="008A4DD4">
      <w:pPr>
        <w:pStyle w:val="Ruller4"/>
        <w:rPr>
          <w:rtl/>
        </w:rPr>
      </w:pPr>
      <w:r w:rsidRPr="00531BD3">
        <w:rPr>
          <w:rFonts w:hint="cs"/>
          <w:rtl/>
        </w:rPr>
        <w:t xml:space="preserve">העובדה שמדובר במוסד </w:t>
      </w:r>
      <w:proofErr w:type="spellStart"/>
      <w:r w:rsidRPr="00531BD3">
        <w:rPr>
          <w:rFonts w:hint="cs"/>
          <w:rtl/>
        </w:rPr>
        <w:t>וולנטרי</w:t>
      </w:r>
      <w:proofErr w:type="spellEnd"/>
      <w:r w:rsidRPr="00531BD3">
        <w:rPr>
          <w:rFonts w:hint="cs"/>
          <w:rtl/>
        </w:rPr>
        <w:t xml:space="preserve">, אין משמעותה כי לא ניתן להחיל לגביו נורמות מחייבות. מרגע שהוחלט על הקמת הוועדה עליה לעמוד במאפיינים הבסיסיים המבטיחים את מימוש תכליתה באופן אפקטיבי. שאם לא כן, עלול להיווצר מצג של ניהול משא ומתן בתנאי שוק כלפי האורגנים שנדרשים לאשר את העסקה לפי החוק. בעניין זה גם לא היה מקום </w:t>
      </w:r>
      <w:proofErr w:type="spellStart"/>
      <w:r w:rsidRPr="00531BD3">
        <w:rPr>
          <w:rFonts w:hint="cs"/>
          <w:rtl/>
        </w:rPr>
        <w:t>ליתן</w:t>
      </w:r>
      <w:proofErr w:type="spellEnd"/>
      <w:r w:rsidRPr="00531BD3">
        <w:rPr>
          <w:rFonts w:hint="cs"/>
          <w:rtl/>
        </w:rPr>
        <w:t xml:space="preserve"> משקל לכך שהפסיקה שציינה את חובת הסודיות כמאפיין ליבה של הוועדות ניתנה לאחר ביצוע המעשים מושא כתב האישום, כמו גם לכך שנייר העמדה של הרשות לניירות ערך פורסם רק בשנת 2020. הפסיקה, הספרות האקדמית וגם עמדת הרשות לניירות ערך הצהירו על מצב משפטי שהיה קיים גם קודם לכן, ולא כוננו דין חדש. בכל הנוגע לשאלה אם המשיבים ידעו על קיומה של חובת סודיות בעת ביצוע המעשים, הרי שמדובר בשאלה של יסוד נפשי שלצורך בירורה נדרשת הכרעה עובדתית לאחר שמיעת ראיות. בכל מקרה, כתב האישום מפרט חלק ממעשי ההסתרה המלמדים לעמדת המערערת על הבנתם של המשיבים כי פעולתם מנוגדת לדין.</w:t>
      </w:r>
    </w:p>
    <w:p w:rsidR="008A4DD4" w:rsidRPr="00531BD3" w:rsidRDefault="008A4DD4" w:rsidP="008A4DD4">
      <w:pPr>
        <w:pStyle w:val="Ruller41"/>
        <w:rPr>
          <w:rtl/>
        </w:rPr>
      </w:pPr>
    </w:p>
    <w:p w:rsidR="008A4DD4" w:rsidRPr="00531BD3" w:rsidRDefault="008A4DD4" w:rsidP="008A4DD4">
      <w:pPr>
        <w:pStyle w:val="Ruller4"/>
        <w:rPr>
          <w:rtl/>
        </w:rPr>
      </w:pPr>
      <w:r w:rsidRPr="00531BD3">
        <w:rPr>
          <w:rFonts w:hint="cs"/>
          <w:rtl/>
        </w:rPr>
        <w:t xml:space="preserve">עוד טענה המערערת כי בית המשפט שגה בכך שלא התייחס לקיומה של חובת סודיות כחלק מחובת האמון המוטלת על המשיבים כלפי בזק, בנסיבות המתוארות בכתב האישום. הקביעה כי חלה חובת סודיות בנסיבות העניין איננה רק קביעה הנלמדת מהשכל הישר, אלא יישום פשוט של הלכות בית משפט זה בדבר היקף חובות האמון של נושא משרה בחברה. קביעתו של בית המשפט כי בהיעדר חובת סודיות גם לא הופרה חובת אמון, היא קביעה שגויה שאינה מתיישבת עם הוראות הדין. בניגוד לעולה מהנמקת </w:t>
      </w:r>
      <w:r w:rsidRPr="00531BD3">
        <w:rPr>
          <w:rFonts w:hint="cs"/>
          <w:rtl/>
        </w:rPr>
        <w:lastRenderedPageBreak/>
        <w:t xml:space="preserve">בית המשפט המחוזי, אין צורך להצביע על מקור ספציפי לקיומה של חובת סודיות כאשר חובה זו נלמדת הן ממאפייניו של המידע, הן מהיקף חובותיהם של הגורמים המעורבים והן מהנסיבות שבהן הועבר המידע.  </w:t>
      </w:r>
    </w:p>
    <w:p w:rsidR="008A4DD4" w:rsidRPr="00531BD3" w:rsidRDefault="008A4DD4" w:rsidP="008A4DD4">
      <w:pPr>
        <w:pStyle w:val="Ruller41"/>
        <w:rPr>
          <w:rtl/>
        </w:rPr>
      </w:pPr>
    </w:p>
    <w:p w:rsidR="008A4DD4" w:rsidRPr="00531BD3" w:rsidRDefault="008A4DD4" w:rsidP="008A4DD4">
      <w:pPr>
        <w:pStyle w:val="Ruller4"/>
      </w:pPr>
      <w:r w:rsidRPr="00531BD3">
        <w:rPr>
          <w:rFonts w:hint="cs"/>
          <w:rtl/>
        </w:rPr>
        <w:t xml:space="preserve">בית המשפט גם שגה בכך שהתמקד בהוראות סעיף 278 לחוק החברות כמקור חובה יחיד וממצה להימנעותם של בעלי עניין אישי מקבלת מידע ביחס לעבודת הוועדה. הקביעה כי האיסור הקבוע בסעיף 287 לחוק על השתתפות והצבעה הוא הסדר ממצה היוצר הסדר שלילי בכל הנוגע למגבלות אחרות על בעלי עניין אישי, היא שגויה. אין מדובר בהסדר אשר יש בו כדי למלא אחר מלוא תכליותיו של מוסד הוועדה המיוחדת כמנגנון אשר נועד לדמות משא ומתן תחרותי. מדובר בהסדר ספציפי המטפל בסוגיה מסוימת </w:t>
      </w:r>
      <w:r w:rsidRPr="00531BD3">
        <w:rPr>
          <w:rtl/>
        </w:rPr>
        <w:t>–</w:t>
      </w:r>
      <w:r w:rsidRPr="00531BD3">
        <w:rPr>
          <w:rFonts w:hint="cs"/>
          <w:rtl/>
        </w:rPr>
        <w:t xml:space="preserve"> נוכחותם של בעלי עניין בדיוני ועדת הביקורת והדירקטוריון </w:t>
      </w:r>
      <w:r w:rsidRPr="00531BD3">
        <w:rPr>
          <w:rtl/>
        </w:rPr>
        <w:t>–</w:t>
      </w:r>
      <w:r w:rsidRPr="00531BD3">
        <w:rPr>
          <w:rFonts w:hint="cs"/>
          <w:rtl/>
        </w:rPr>
        <w:t xml:space="preserve"> אולם הוא בוודאי אינו מתיימר להסדיר את המערך הנורמטיבי המלא החל על בעלי עניין אישי במקרה של הקמת ועדה מיוחדת.</w:t>
      </w:r>
    </w:p>
    <w:p w:rsidR="008A4DD4" w:rsidRPr="00531BD3" w:rsidRDefault="008A4DD4" w:rsidP="008A4DD4">
      <w:pPr>
        <w:pStyle w:val="Ruller4"/>
        <w:numPr>
          <w:ilvl w:val="0"/>
          <w:numId w:val="0"/>
        </w:numPr>
      </w:pPr>
    </w:p>
    <w:p w:rsidR="008A4DD4" w:rsidRPr="00531BD3" w:rsidRDefault="008A4DD4" w:rsidP="008A4DD4">
      <w:pPr>
        <w:pStyle w:val="Ruller4"/>
      </w:pPr>
      <w:r w:rsidRPr="00531BD3">
        <w:rPr>
          <w:rFonts w:hint="cs"/>
          <w:rtl/>
        </w:rPr>
        <w:t xml:space="preserve">המערערת הוסיפה באשר לרכיב ה"מרמה", כי רכיב זה יכול להתקיים גם על דרך של מחדל, ולפיכך גם בהניח כי אין חובת סודיות בדין כפי שהניח בית המשפט (אף כי זו כאמור הנחה שגויה לעמדת המערערת), היה על בית המשפט לבחון אם ההימנעות המכוונת מלגלות את העברת המידע מהוועדה, אינה מגבשת מרמה כלפי מוסדות בזק. באשר לרכיב ה"דבר", הרי שכתב האישום ייחס למשיבים שני "דברים" אשר התקבלו במרמה: מידע שהיה גלום בו יתרון תחרותי; והנחת דעתם של מוסדות בזק (ובאישום השלישי גם הנחת דעתה של </w:t>
      </w:r>
      <w:proofErr w:type="spellStart"/>
      <w:r w:rsidRPr="00531BD3">
        <w:rPr>
          <w:rFonts w:hint="cs"/>
          <w:rtl/>
        </w:rPr>
        <w:t>אנטרופי</w:t>
      </w:r>
      <w:proofErr w:type="spellEnd"/>
      <w:r w:rsidRPr="00531BD3">
        <w:rPr>
          <w:rFonts w:hint="cs"/>
          <w:rtl/>
        </w:rPr>
        <w:t xml:space="preserve">) באשר לאופן עבודת הוועדות והליך ניהול המשא ומתן. באשר לכך שהיה גלום במידע יתרון תחרותי, הרי שבניגוד לקביעת בית המשפט, כתב האישום מפרט באופן מספק את היתרון התחרותי הגלום במידע שהועבר לצד השני במשא ומתן עסקי, וכך גם עולה מעדויות חברי הוועדות שבית המשפט טרם נחשף אליהן. בקשר לקבלת הנחת הדעת במרמה של מוסדות בזק, הרי שגם בהקשר זה, בניגוד לקביעת בית המשפט, כתב האישום מפרט היטב את המעשים אשר היה בהם כדי לפגוע בבזק. לפיכך, בית המשפט שגה בקבעו כי כתב האישום לא ביסס את הפגיעה בשיקול דעתם של מוסדות בזק ושל </w:t>
      </w:r>
      <w:proofErr w:type="spellStart"/>
      <w:r w:rsidRPr="00531BD3">
        <w:rPr>
          <w:rFonts w:hint="cs"/>
          <w:rtl/>
        </w:rPr>
        <w:t>אנטרופי</w:t>
      </w:r>
      <w:proofErr w:type="spellEnd"/>
      <w:r w:rsidRPr="00531BD3">
        <w:rPr>
          <w:rFonts w:hint="cs"/>
          <w:rtl/>
        </w:rPr>
        <w:t xml:space="preserve">. כמו כן, גם קביעת בית המשפט לפיה הוועדות נסמכו על מומחים חיצוניים שונים כדי לבסס את החלטתן וכי עצם ידיעת המשיבים על חוות דעת אלו לא היה בה כדי לשנות מן המסקנה, היא קביעה עובדתית החורגת מכתב האישום שניתנה מבלי שנחשף לראיות בתיק. הראיות בתיק דווקא מלמדות כי בין הצדדים התקיים משא ומתן ארוך ומורכב במהלכו השתנו עמדות הצדדים מפעם לפעם עד שהגיעו למתווה עסקה מוסכם. לוּ היה נחשף בית המשפט לראיות אלה, היה נגלה </w:t>
      </w:r>
      <w:r w:rsidRPr="00531BD3">
        <w:rPr>
          <w:rFonts w:hint="cs"/>
          <w:rtl/>
        </w:rPr>
        <w:lastRenderedPageBreak/>
        <w:t>לפניו האופן בו חברי הוועדה והמשתתפים בדיונים הבינו את אופן עבודת הוועדה ואת תגובתם לכך שהתגלה להם כי מידע הועבר בזמן אמת לבעלי העניין.</w:t>
      </w:r>
    </w:p>
    <w:p w:rsidR="008A4DD4" w:rsidRPr="00531BD3" w:rsidRDefault="008A4DD4" w:rsidP="008A4DD4">
      <w:pPr>
        <w:pStyle w:val="Ruller4"/>
        <w:numPr>
          <w:ilvl w:val="0"/>
          <w:numId w:val="0"/>
        </w:numPr>
      </w:pPr>
    </w:p>
    <w:p w:rsidR="008A4DD4" w:rsidRPr="00531BD3" w:rsidRDefault="008A4DD4" w:rsidP="008A4DD4">
      <w:pPr>
        <w:pStyle w:val="Ruller4"/>
      </w:pPr>
      <w:r w:rsidRPr="00531BD3">
        <w:rPr>
          <w:rFonts w:hint="cs"/>
          <w:rtl/>
        </w:rPr>
        <w:t xml:space="preserve">בכל מקרה, על מנת להוכיח את עבירת קבלת דבר במרמה אין צורך להוכיח כי המרומה היה פועל אחרת לוּ היה מודע למצב לאשורו. די בכך שהמעשה </w:t>
      </w:r>
      <w:proofErr w:type="spellStart"/>
      <w:r w:rsidRPr="00531BD3">
        <w:rPr>
          <w:rFonts w:hint="cs"/>
          <w:rtl/>
        </w:rPr>
        <w:t>המרמתי</w:t>
      </w:r>
      <w:proofErr w:type="spellEnd"/>
      <w:r w:rsidRPr="00531BD3">
        <w:rPr>
          <w:rFonts w:hint="cs"/>
          <w:rtl/>
        </w:rPr>
        <w:t xml:space="preserve"> היה גורם מהותי בשיקוליו של המרומה. כמו כן נפסק כי כאשר ה"דבר" המתקבל הוא הנחת הדעת של המרומה שהנתונים שנמסרו לו מדויקים ונכונים, ההישג המתקבל אצל המרמה הוא חוסר יכולתו של המרומה לשקול את פעולותיו על בסיס מלוא הנתונים ומניעת הסיכון שהמרומה יפעל אחרת אם נתונים אלו היו ידועים לו. לפיכך, אין דרישה של הדין שיוכח בהכרח שהמרומה אכן היה פועל אחרת. </w:t>
      </w:r>
    </w:p>
    <w:p w:rsidR="008A4DD4" w:rsidRPr="00531BD3" w:rsidRDefault="008A4DD4" w:rsidP="008A4DD4">
      <w:pPr>
        <w:pStyle w:val="Ruller4"/>
        <w:numPr>
          <w:ilvl w:val="0"/>
          <w:numId w:val="0"/>
        </w:numPr>
        <w:rPr>
          <w:rtl/>
        </w:rPr>
      </w:pPr>
    </w:p>
    <w:p w:rsidR="008A4DD4" w:rsidRPr="00531BD3" w:rsidRDefault="008A4DD4" w:rsidP="008A4DD4">
      <w:pPr>
        <w:pStyle w:val="Ruller4"/>
      </w:pPr>
      <w:r w:rsidRPr="00531BD3">
        <w:rPr>
          <w:rFonts w:hint="cs"/>
          <w:rtl/>
        </w:rPr>
        <w:t>בית המשפט גם שגה בקבעו כי עבירת המרמה והפרת אמונים בתאגיד לא מתקיימת במשיבים. באשר לרכיב העובדתי של העבירה, נוכח עמדת המערערת כי הונחה תשתית עובדתית ומשפטית רחבה לקיומה של חובת סודיות במקרה זה ולכך שהמשיבים הפרו אותה, ניתן גם ללמוד כי המשיבים הפרו את חובות האמון שלהם כלפי בזק. לא היה מקום לקבוע כי מהעובדה שבעלי העניין גילו על עניינם האישי בעסקאות עולה כי הם לא נמצאו במצב של ניגוד עניינים מהותי. עצם הגילוי על עניינם האישי אינו העיקר, שכן המשיבים לא יכלו להסתיר את עניינם האישי בעסקאות משום שמדובר בעניין גלוי ופומבי. אולם המשיבים נקטו בדרך אחרת, המגבשת הפרת חובות אמון, על מנת לשמר את היתרון שלהם כבעלי עניין בעסקאות בדרך של קבלת מידע שוטף מתוך דיוני הוועדות. בנוסף מדובר בענייננו במקרה אשר מתקיים בו באופן מובהק פן מחמיר נוסף. זאת בהינתן אופיו של התאגיד, חברת התקשורת הגדולה בישראל; העובדה שמדובר בעסק</w:t>
      </w:r>
      <w:r w:rsidR="004A441C">
        <w:rPr>
          <w:rFonts w:hint="cs"/>
          <w:rtl/>
        </w:rPr>
        <w:t>ה שבין התאגיד לבין בעל השליטה בו</w:t>
      </w:r>
      <w:r w:rsidRPr="00531BD3">
        <w:rPr>
          <w:rFonts w:hint="cs"/>
          <w:rtl/>
        </w:rPr>
        <w:t xml:space="preserve"> שהיא אחד מהאירועים הרגישים מבחינת יחסיו של תאגיד עם ציבור משקיעיו; מעמדם הבכיר של המשיבים בתאגיד; היקפן של העסקאות; והיתרון התחרותי שהופק כתוצאה ממעשיהם של המשיבים. לעמדת המערערת גם אין ספק כי במקרה זה התקיימה סטייה מן השורה. מדובר במקרה חמור ביותר, שאינו נופל בחומרתו ממקרים אחרים דומים שבהם הורשעו נאשמים בעבירות אלה, המגבש באופן מובהק הפרה יסודית ועמוקה של חובות האמון של המשיבים לתאגיד שבו כיהנו כנושאי משרה. </w:t>
      </w:r>
    </w:p>
    <w:p w:rsidR="008A4DD4" w:rsidRPr="00531BD3" w:rsidRDefault="008A4DD4" w:rsidP="008A4DD4">
      <w:pPr>
        <w:pStyle w:val="Ruller4"/>
        <w:numPr>
          <w:ilvl w:val="0"/>
          <w:numId w:val="0"/>
        </w:numPr>
      </w:pPr>
    </w:p>
    <w:p w:rsidR="008A4DD4" w:rsidRPr="00531BD3" w:rsidRDefault="008A4DD4" w:rsidP="008A4DD4">
      <w:pPr>
        <w:pStyle w:val="Ruller4"/>
      </w:pPr>
      <w:r w:rsidRPr="00531BD3">
        <w:rPr>
          <w:rFonts w:hint="cs"/>
          <w:rtl/>
        </w:rPr>
        <w:t xml:space="preserve">כמו כן שגה בית המשפט בקבעו כי בכתב האישום לא תוארה פגיעה בתאגיד. כתב האישום פירט את הפגיעה בתאגיד כנדרש, ובכלל זה הובהר כי המשיבים הפרו את חובות האמון שלהם כלפי החברה בכך שהעבירו לצד השני לעסקאות מידע שהקנה לו </w:t>
      </w:r>
      <w:r w:rsidRPr="00531BD3">
        <w:rPr>
          <w:rFonts w:hint="cs"/>
          <w:rtl/>
        </w:rPr>
        <w:lastRenderedPageBreak/>
        <w:t xml:space="preserve">יתרון תחרותי, וכי המשיבים הביאו לכך שמוסדות בזק אישרו את העסקאות על בסיס מצג כוזב. לשיטת המערערת די בתיאור זה, המפרט כיצד פעולות המשיבים פגעו באינטרסים של בזק וביכולתם של מוסדות בזק להפעיל את סמכויותיהם באופן מושכל. בכל מקרה, נטען כי אם סבר בית המשפט כי הפירוט בכתב האישום אינו מספק ניתן היה להורות על תיקון כתב האישום חלף מחיקת </w:t>
      </w:r>
      <w:proofErr w:type="spellStart"/>
      <w:r w:rsidRPr="00531BD3">
        <w:rPr>
          <w:rFonts w:hint="cs"/>
          <w:rtl/>
        </w:rPr>
        <w:t>האישומים</w:t>
      </w:r>
      <w:proofErr w:type="spellEnd"/>
      <w:r w:rsidRPr="00531BD3">
        <w:rPr>
          <w:rFonts w:hint="cs"/>
          <w:rtl/>
        </w:rPr>
        <w:t>.</w:t>
      </w:r>
    </w:p>
    <w:p w:rsidR="008A4DD4" w:rsidRPr="00531BD3" w:rsidRDefault="008A4DD4" w:rsidP="008A4DD4">
      <w:pPr>
        <w:pStyle w:val="Ruller4"/>
        <w:numPr>
          <w:ilvl w:val="0"/>
          <w:numId w:val="0"/>
        </w:numPr>
      </w:pPr>
    </w:p>
    <w:p w:rsidR="008A4DD4" w:rsidRPr="00531BD3" w:rsidRDefault="008A4DD4" w:rsidP="004A441C">
      <w:pPr>
        <w:pStyle w:val="Ruller4"/>
      </w:pPr>
      <w:r w:rsidRPr="00531BD3">
        <w:rPr>
          <w:rFonts w:hint="cs"/>
          <w:rtl/>
        </w:rPr>
        <w:t xml:space="preserve">באשר ליסודות עבירת הדיווח לפי סעיף 53(א)(4) לחוק ניירות ערך, טענה המערערת כי אף אם לא הייתה מוכחת קיומה של חובת סודיות, הרי שעדיין הייתה מתגבשת במקרה זה עבירת הדיווח. זאת שכן על פי כתב האישום מהדיווחים הושמט מידע מהותי הנוגע להתנהלות המשיבים ולמעורבותם בעבודת הוועדה והדלפת החומרים. לגבי עסקת יס-חלל הושמט גם מידע מהותי הנוגע למאמציהם של </w:t>
      </w:r>
      <w:proofErr w:type="spellStart"/>
      <w:r w:rsidRPr="00531BD3">
        <w:rPr>
          <w:rFonts w:hint="cs"/>
          <w:rtl/>
        </w:rPr>
        <w:t>אלוביץ</w:t>
      </w:r>
      <w:proofErr w:type="spellEnd"/>
      <w:r w:rsidRPr="00531BD3">
        <w:rPr>
          <w:rFonts w:hint="cs"/>
          <w:rtl/>
        </w:rPr>
        <w:t>' ומשיב 2 להשפיע על דיוני הוועדה והחלטותיה באמצעות משיבה 4. גם שגה בית המשפט המחוזי בקבעו כי העברת המידע לבעלי העניין איננה מהותית עבור בעלי המניות. השאלה שיש לבחון בהקשר זה איננה האם עבודת הוועדה נפגעה, אלא האם בהיעדר גילוי נפגעה יכולתו של המשקיע הסביר לקבל החלטה מיודעת ומושכלת. המידע שהושמט מהדיווחים בקשר להתנהלות המשיבים והעברת המידע הוא מידע מהותי למשקיע. לעמדת המערערת, לוּ היה נמסר מידע זה למשקיעים, הייתה לכך השפעה על מתן אישורם לעסקה. משעה שהחברה החליטה לדווח באופן מפורט על תהליכי העבודה של הוועדות מול בעלי העניין, דיווח זה יצר מצג לציבור המשקיעים כי הוא כולל את כל הפרטים המהותיים הנוגעי</w:t>
      </w:r>
      <w:r w:rsidR="004A441C">
        <w:rPr>
          <w:rFonts w:hint="cs"/>
          <w:rtl/>
        </w:rPr>
        <w:t xml:space="preserve">ם לתהליכים אלה. במצב דברים זה, </w:t>
      </w:r>
      <w:r w:rsidRPr="00531BD3">
        <w:rPr>
          <w:rFonts w:hint="cs"/>
          <w:rtl/>
        </w:rPr>
        <w:t>הפרטים בדבר התנהלות המשיבים ובכלל זה העברת המידע, הם בוודאי פרטים מהותיים שבלעדיהם המצג בקשר לוועדות היה חסר ואף מטעה כלפי ציבור המשקיעים. בכל מקרה, פרטים בדבר מידע שהודלף לבעל שליטה שהוא אף נושא משרה בכיר בחברה, על ידי נושאת משרה אחרת, מתוך ועדה שהוקמה על ידי מוסדות החברה כדי לאפשר הליך תחרותי מולו, הם בוודאי מהותיים למשקיע הסביר לצורך הערכת תקינותם של תהליכי העבודה שהובילו להחלטה על התקשרות בעסקה. עוד הוסיפה המערערת כי ביחס לקביעת בית המשפט המחוזי שלא התקיים היסוד הנפשי הנדרש בעבירה זו של מטרה מיוחדת להטעות משקיע סביר, נטען כי אין מדובר בסוג הממצאים שניתן לקבוע במסגרת דיון בטענה מקדמית.</w:t>
      </w:r>
      <w:r w:rsidRPr="00531BD3">
        <w:t xml:space="preserve"> </w:t>
      </w:r>
      <w:r w:rsidRPr="00531BD3">
        <w:rPr>
          <w:rFonts w:hint="cs"/>
          <w:rtl/>
        </w:rPr>
        <w:t>המערערת הוסיפה וטענה כי בית המשפט המחוזי ערך הלכה למעשה ביקורת שיפוטית על ההחלטה להעמיד את המשיבים לדין תוך שהוא בוחן את שיקול דעתה בעניין זה והלכה למעשה קובע כי מדובר בהחלטה שאינה סבירה. אולם ביקורת שיפוטית מסוג זה אין מקומה במסגרת הדיון בטענה מקדמית.</w:t>
      </w:r>
    </w:p>
    <w:p w:rsidR="008A4DD4" w:rsidRPr="00531BD3" w:rsidRDefault="008A4DD4" w:rsidP="008A4DD4">
      <w:pPr>
        <w:pStyle w:val="Ruller4"/>
        <w:numPr>
          <w:ilvl w:val="0"/>
          <w:numId w:val="0"/>
        </w:numPr>
      </w:pPr>
    </w:p>
    <w:p w:rsidR="008A4DD4" w:rsidRPr="00531BD3" w:rsidRDefault="008A4DD4" w:rsidP="008A4DD4">
      <w:pPr>
        <w:pStyle w:val="Ruller4"/>
        <w:rPr>
          <w:rtl/>
        </w:rPr>
      </w:pPr>
      <w:r w:rsidRPr="00531BD3">
        <w:rPr>
          <w:rFonts w:hint="cs"/>
          <w:rtl/>
        </w:rPr>
        <w:lastRenderedPageBreak/>
        <w:t xml:space="preserve">לבסוף ציינה המערערת כי היא אינה מתעלמת מכך שבנוגע </w:t>
      </w:r>
      <w:proofErr w:type="spellStart"/>
      <w:r w:rsidRPr="00531BD3">
        <w:rPr>
          <w:rFonts w:hint="cs"/>
          <w:rtl/>
        </w:rPr>
        <w:t>לאלוביץ</w:t>
      </w:r>
      <w:proofErr w:type="spellEnd"/>
      <w:r w:rsidRPr="00531BD3">
        <w:rPr>
          <w:rFonts w:hint="cs"/>
          <w:rtl/>
        </w:rPr>
        <w:t xml:space="preserve">' ולמשיבים 7-5 החלטת בית המשפט המחוזי איננה מסיימת את עניינם ומשכך מדובר בהחלטת ביניים בהליך פלילי אשר ככלל אין לגביה זכות ערעור. עם זאת, טענה המערערת כי מקרה זה נופל לגדר אותם מקרים "נדירים מאוד" בהם יש מקום למתן זכות ערעור גם בנוגע למשיבים אלו, משום שההחלטה אכן סיימה את ההליכים בעניינם של משיבים 4-2 ומשכך מהווה בעניינם פסק דין. אם יידחה הערעור לגבי </w:t>
      </w:r>
      <w:proofErr w:type="spellStart"/>
      <w:r w:rsidRPr="00531BD3">
        <w:rPr>
          <w:rFonts w:hint="cs"/>
          <w:rtl/>
        </w:rPr>
        <w:t>אלוביץ</w:t>
      </w:r>
      <w:proofErr w:type="spellEnd"/>
      <w:r w:rsidRPr="00531BD3">
        <w:rPr>
          <w:rFonts w:hint="cs"/>
          <w:rtl/>
        </w:rPr>
        <w:t xml:space="preserve">' ומשיבים 7-5, משמעות הדבר היא כי ההליך לגבי האישום השני והאישום השלישי ינוהל רק ביחס למשיבים 4-2 ואילו לגבי </w:t>
      </w:r>
      <w:proofErr w:type="spellStart"/>
      <w:r w:rsidRPr="00531BD3">
        <w:rPr>
          <w:rFonts w:hint="cs"/>
          <w:rtl/>
        </w:rPr>
        <w:t>אלוביץ</w:t>
      </w:r>
      <w:proofErr w:type="spellEnd"/>
      <w:r w:rsidRPr="00531BD3">
        <w:rPr>
          <w:rFonts w:hint="cs"/>
          <w:rtl/>
        </w:rPr>
        <w:t xml:space="preserve">' ומשיבים 7-5 ניתן יהיה לערער על כך רק בסוף ההליך. דבר זה יוצר לטענת המערערת מצב בלתי צודק ולא יעיל באופן קיצוני. </w:t>
      </w:r>
    </w:p>
    <w:p w:rsidR="008A4DD4" w:rsidRPr="00531BD3" w:rsidRDefault="008A4DD4" w:rsidP="008A4DD4">
      <w:pPr>
        <w:pStyle w:val="Ruller41"/>
        <w:rPr>
          <w:rtl/>
        </w:rPr>
      </w:pPr>
    </w:p>
    <w:p w:rsidR="008A4DD4" w:rsidRPr="00531BD3" w:rsidRDefault="008A4DD4" w:rsidP="008A4DD4">
      <w:pPr>
        <w:pStyle w:val="Ruller4"/>
      </w:pPr>
      <w:r w:rsidRPr="00531BD3">
        <w:rPr>
          <w:rFonts w:hint="cs"/>
          <w:rtl/>
        </w:rPr>
        <w:t xml:space="preserve">המשיבים כולם (אשר טענותיהם יובאו להלן במאוחד למעט פירוט טענות נקודתיות שנטענו על ידי חלקם בנפרד), מטבע הדברים, </w:t>
      </w:r>
      <w:proofErr w:type="spellStart"/>
      <w:r w:rsidRPr="00531BD3">
        <w:rPr>
          <w:rFonts w:hint="cs"/>
          <w:rtl/>
        </w:rPr>
        <w:t>החרו</w:t>
      </w:r>
      <w:proofErr w:type="spellEnd"/>
      <w:r w:rsidRPr="00531BD3">
        <w:rPr>
          <w:rFonts w:hint="cs"/>
          <w:rtl/>
        </w:rPr>
        <w:t xml:space="preserve"> החזיקו אחר קביעת בית המשפט המחוזי כי האישום השני והאישום השלישי אינם מגלים עבירה, תוך שחזרו על הקביעה כי לא קיימת במקרה זה חובת סודיות כנטען על ידי המערערת. נטען כי טענת המערערת שחובת הסודיות הינה מובנית מאליה איננה יכולה לבסס כל מקור חוקי למסקנה זו, והעמדה לדין בהתבסס על כך עומדת בסתירה חזיתית לעיקרון החוקיות. מה גם שהמערערת עצמה סותרת את עצמה בציינה כי חובת הסודיות הייתה ברורה וידועה לכל בעוד שעל פי עובדות כתב האישום עצמו נושאי משרה נוספים העבירו חומרים מתוך הוועדה. המשיבים טענו כי אין כל בסיס נורמטיבי, אף לא בדין האזרחי, להטלת אחריות כלשהי בגין פעולות של מסירת מידע וקבלת מידע מתוך דיוני ועדה מיוחדת. לטענת המשיבים על המערערת היה להצביע על מקור לקיומה של אותה חובת סודיות על בסיסה ביקשה להשתית את הטענות העובדתיות והמשפטיות שנכללו בכתב האישום, כאשר בניגוד לנטען על ידי המערערת אין מדובר בעניין ראייתי הטעון בירור. המערערת מניחה קיומם של איסורים וחובות בעניינן של הוועדות המיוחדות מבלי להצביע על עוגן נורמטיבי לקיומן, ועל בסיס הנחה זו היא טוענת לקיומה של מרמה בשל הצגת "מצגי שווא" ביחס לאותה "חובה" ולהפרת חובות אמון. </w:t>
      </w:r>
    </w:p>
    <w:p w:rsidR="008A4DD4" w:rsidRPr="00531BD3" w:rsidRDefault="008A4DD4" w:rsidP="008A4DD4">
      <w:pPr>
        <w:pStyle w:val="Ruller4"/>
        <w:numPr>
          <w:ilvl w:val="0"/>
          <w:numId w:val="0"/>
        </w:numPr>
      </w:pPr>
    </w:p>
    <w:p w:rsidR="008A4DD4" w:rsidRPr="00531BD3" w:rsidRDefault="008A4DD4" w:rsidP="008A4DD4">
      <w:pPr>
        <w:pStyle w:val="Ruller4"/>
      </w:pPr>
      <w:r w:rsidRPr="00531BD3">
        <w:rPr>
          <w:rFonts w:hint="cs"/>
          <w:rtl/>
        </w:rPr>
        <w:t xml:space="preserve">בצדק גם קבע בית המשפט המחוזי כי העובדה היחידה שנטענה בהקשר זה הייתה כי דירקטוריון בזק קבע כי בעלי העניין יהיו "ממודרים" מעבודת הוועדה. אולם כפי שקבע בית המשפט המחוזי, לא </w:t>
      </w:r>
      <w:r w:rsidRPr="00531BD3">
        <w:rPr>
          <w:rFonts w:hint="eastAsia"/>
          <w:rtl/>
        </w:rPr>
        <w:t>ניתן להסיק</w:t>
      </w:r>
      <w:r w:rsidRPr="00531BD3">
        <w:rPr>
          <w:rFonts w:hint="cs"/>
          <w:rtl/>
        </w:rPr>
        <w:t xml:space="preserve"> מקביעת דירקטוריון החברה בדבר "מידור" בעלי העניין על איסור גורף להעברת מידע או על "סודיות" דיוניה. בהתייחס לטענת המערערת בערעורה </w:t>
      </w:r>
      <w:r w:rsidRPr="00531BD3">
        <w:rPr>
          <w:rtl/>
        </w:rPr>
        <w:t>–</w:t>
      </w:r>
      <w:r w:rsidRPr="00531BD3">
        <w:rPr>
          <w:rFonts w:hint="cs"/>
          <w:rtl/>
        </w:rPr>
        <w:t xml:space="preserve"> לפיה כוונת חברי הדירקטוריון בהחלטתם כי בעלי העניין האישי יהיו "ממודרים" מעבודת הוועדה הייתה כי דיוני הוועדה והמסמכים שיוגשו אליה יהיו חסויים </w:t>
      </w:r>
      <w:r w:rsidRPr="00531BD3">
        <w:rPr>
          <w:rtl/>
        </w:rPr>
        <w:t>–</w:t>
      </w:r>
      <w:r w:rsidRPr="00531BD3">
        <w:rPr>
          <w:rFonts w:hint="cs"/>
          <w:rtl/>
        </w:rPr>
        <w:t xml:space="preserve"> נטען כי כוונה נסתרת של חברי הדירקטוריון שלא ניתן לה כל ביטוי </w:t>
      </w:r>
      <w:r w:rsidRPr="00531BD3">
        <w:rPr>
          <w:rFonts w:hint="cs"/>
          <w:rtl/>
        </w:rPr>
        <w:lastRenderedPageBreak/>
        <w:t xml:space="preserve">חיצוני הינה חסרת משמעות, אף במישור האזרחי, ובוודאי שהיא אינה יכולה לייצר חובת סודיות כנטען על ידי המערערת. מעבר לכך שהנתון בדבר "כוונת" חברי הדירקטוריון לא פורט בכתב האישום, הרי שאין די בכוונה סובייקטיבית של דירקטור בחברה כדי לכונן איסור פלילי. עוד נטען כי אין מקום לטענת המערערת כי בית המשפט המחוזי בקביעותיו סטה מעובדות כתב האישום או קבע עובדות שאינן מופיעות בו. אף ההיפך הוא הנכון, שכן בית המשפט אף היה נכון להרחיב את היריעה ולהניח לצורך הדיון הנחות לטובת המערערת אף מעבר לעובדות כתב האישום. </w:t>
      </w:r>
    </w:p>
    <w:p w:rsidR="008A4DD4" w:rsidRPr="00531BD3" w:rsidRDefault="008A4DD4" w:rsidP="008A4DD4">
      <w:pPr>
        <w:pStyle w:val="Ruller4"/>
        <w:numPr>
          <w:ilvl w:val="0"/>
          <w:numId w:val="0"/>
        </w:numPr>
      </w:pPr>
    </w:p>
    <w:p w:rsidR="008A4DD4" w:rsidRPr="00531BD3" w:rsidRDefault="008A4DD4" w:rsidP="008A4DD4">
      <w:pPr>
        <w:pStyle w:val="Ruller4"/>
      </w:pPr>
      <w:r w:rsidRPr="00531BD3">
        <w:rPr>
          <w:rFonts w:hint="cs"/>
          <w:rtl/>
        </w:rPr>
        <w:t xml:space="preserve">גם אין לקבל את טענת המערערת כי בית המשפט התייחס לסעיף 278 לחוק החברות כהסדר נורמטיבי ממצה. כל שקבע בית המשפט בהקשר זה הוא כי מהוראות סעיף זה אין ללמוד על חובת סודיות, אלא על חובת הימנעות מהשתתפות בדיונים והצבעה בישיבות ועדת הביקורת והדירקטוריון. </w:t>
      </w:r>
      <w:r w:rsidRPr="00531BD3">
        <w:rPr>
          <w:b/>
          <w:rtl/>
        </w:rPr>
        <w:t xml:space="preserve">בהתייחס לנייר העמדה של הרשות לניירות ערך, </w:t>
      </w:r>
      <w:r w:rsidRPr="00531BD3">
        <w:rPr>
          <w:rFonts w:hint="cs"/>
          <w:b/>
          <w:rtl/>
        </w:rPr>
        <w:t xml:space="preserve">טענו המשיבים </w:t>
      </w:r>
      <w:r w:rsidRPr="00531BD3">
        <w:rPr>
          <w:b/>
          <w:rtl/>
        </w:rPr>
        <w:t xml:space="preserve">כי נייר העמדה לא התיימר לקבוע כי דיוני הוועדה הם סודיים </w:t>
      </w:r>
      <w:r w:rsidRPr="00531BD3">
        <w:rPr>
          <w:rFonts w:hint="cs"/>
          <w:b/>
          <w:rtl/>
        </w:rPr>
        <w:t xml:space="preserve">ואם בכלל ניתן ללמוד ממנו כי הדיווח צריך לכלול אך ורק פירוט בדבר הסדרים על השמירה על הסודיות, אם ישנם. </w:t>
      </w:r>
    </w:p>
    <w:p w:rsidR="008A4DD4" w:rsidRPr="00531BD3" w:rsidRDefault="008A4DD4" w:rsidP="008A4DD4">
      <w:pPr>
        <w:pStyle w:val="Ruller41"/>
      </w:pPr>
    </w:p>
    <w:p w:rsidR="008A4DD4" w:rsidRPr="00531BD3" w:rsidRDefault="008A4DD4" w:rsidP="008A4DD4">
      <w:pPr>
        <w:pStyle w:val="Ruller4"/>
        <w:rPr>
          <w:rtl/>
        </w:rPr>
      </w:pPr>
      <w:r w:rsidRPr="00531BD3">
        <w:rPr>
          <w:rFonts w:hint="cs"/>
          <w:rtl/>
        </w:rPr>
        <w:t xml:space="preserve">עוד נטען כי אין מקום לטענת המערערת על פיה היה על בית המשפט להורות לה לתקן את כתב האישום אם סבר כי הוא לקוי. המערערת ידעה היטב מהן העובדות החסרות בכתב האישום ובכל זאת לא ביקשה לתקן את כתב האישום, אלא השיבה לטיעוני המשיבים בבית המשפט המחוזי על פי עובדות כתב האישום הקיים הנשען על הראיות שבידיה. מעבר לכך, לא מדובר במצב שבו ניתן לתקן את כתב האישום חלף ביטולו, שכן בפועל חובת הסודיות הנטענת על ידי המערערת ואשר לשיטתה עומדת בבסיס העבירות </w:t>
      </w:r>
      <w:r w:rsidRPr="00531BD3">
        <w:rPr>
          <w:rtl/>
        </w:rPr>
        <w:t>–</w:t>
      </w:r>
      <w:r w:rsidRPr="00531BD3">
        <w:rPr>
          <w:rFonts w:hint="cs"/>
          <w:rtl/>
        </w:rPr>
        <w:t xml:space="preserve"> לא קיימת. </w:t>
      </w:r>
    </w:p>
    <w:p w:rsidR="008A4DD4" w:rsidRPr="00531BD3" w:rsidRDefault="008A4DD4" w:rsidP="008A4DD4">
      <w:pPr>
        <w:pStyle w:val="Ruller4"/>
        <w:numPr>
          <w:ilvl w:val="0"/>
          <w:numId w:val="0"/>
        </w:numPr>
      </w:pPr>
    </w:p>
    <w:p w:rsidR="008A4DD4" w:rsidRPr="00531BD3" w:rsidRDefault="008A4DD4" w:rsidP="005C1D5D">
      <w:pPr>
        <w:pStyle w:val="Ruller4"/>
      </w:pPr>
      <w:r w:rsidRPr="00531BD3">
        <w:rPr>
          <w:rFonts w:hint="cs"/>
          <w:rtl/>
        </w:rPr>
        <w:t>בכל מקרה, לעמדת המשיבים צדק בית המשפט המחוזי באופן ובדרך שבה ניתח את העבירות. המערערת לא פירטה בכתב האישום, כנדרש לצורך הוכחת רכיב המרמה, את האירועים בהם לשיטתה נטענו טענות כוזבות או הוצגו מצגים כוזבים. אף אין טענה למצג כלשהו מצד המשיבים או כי היה נגרם שינוי בעסקה או בתנאיה אם לא היה מגיע המידע לידי המשיבים. גם אין לקבל את טענת המערערת לקיומ</w:t>
      </w:r>
      <w:r w:rsidR="005C1D5D">
        <w:rPr>
          <w:rFonts w:hint="cs"/>
          <w:rtl/>
        </w:rPr>
        <w:t>ה</w:t>
      </w:r>
      <w:r w:rsidRPr="00531BD3">
        <w:rPr>
          <w:rFonts w:hint="cs"/>
          <w:rtl/>
        </w:rPr>
        <w:t xml:space="preserve"> של מרמה "במחדל". האפשרות להרשיע אדם בשל הימנעותו מלקיים חובת גילוי חייבת להישען על קיומה של חובה כאמור, מה שאין כן בענייננו. כל עוד לא קיימת חובת גילוי בדין או בחוזה, הימנעותם של המשיבים מלהצהיר כי מידע מסוים הגיע לידיהם מתוך דיוני הוועדה, אינה יכולה להיחשב כמרמה. עוד נטען כי כפי שציין בית המשפט המחוזי, לא הוכח </w:t>
      </w:r>
      <w:r w:rsidRPr="00531BD3">
        <w:rPr>
          <w:rFonts w:hint="cs"/>
          <w:rtl/>
        </w:rPr>
        <w:lastRenderedPageBreak/>
        <w:t>קיומו של "דבר" שהתקבל במרמה. כתב האישום אינו מפרט את מהותו של ה"יתרון התחרותי" שנטען כי התקבל כביכול, וגם לא פירט כיצד יתרון זה השפיע על המשא ומתן ועל תוצאותיו. המערערת עצמה מודעת לכך שהמידע שהועבר למשיבים לא השפיע על העסקאות שנכרתו בסופו של יום. העובדה שלא נעשה כל שימוש במידע מלמדת כי לא היה בו יתרון תחרותי. גם בעניין קבלת הנחת הדעת כי הוועדה קיבלה את החלטותיה תוך מידור בעלי העניין, לא ניתן להסיק כי מדובר ב"דבר" שהתקבל במרמה, שעה שלא נטען כי מדובר ב"הנחת דעת" שהביאה ליתרון במשא ומתן או אף כי נוצלה לשם הישג כלשהו. הנחת דעת כשלעצמה הינה חסרת משמעות.</w:t>
      </w:r>
    </w:p>
    <w:p w:rsidR="008A4DD4" w:rsidRPr="00531BD3" w:rsidRDefault="008A4DD4" w:rsidP="008A4DD4">
      <w:pPr>
        <w:pStyle w:val="Ruller41"/>
      </w:pPr>
    </w:p>
    <w:p w:rsidR="008A4DD4" w:rsidRPr="00531BD3" w:rsidRDefault="008A4DD4" w:rsidP="008A4DD4">
      <w:pPr>
        <w:pStyle w:val="Ruller4"/>
      </w:pPr>
      <w:r w:rsidRPr="00531BD3">
        <w:rPr>
          <w:rFonts w:hint="cs"/>
          <w:rtl/>
        </w:rPr>
        <w:t>כפי שקבע בית המשפט המחוזי, כתב האישום גם אינו מכיל את העובדות ההכרחי</w:t>
      </w:r>
      <w:r w:rsidR="005C1D5D">
        <w:rPr>
          <w:rFonts w:hint="cs"/>
          <w:rtl/>
        </w:rPr>
        <w:t>ו</w:t>
      </w:r>
      <w:r w:rsidRPr="00531BD3">
        <w:rPr>
          <w:rFonts w:hint="cs"/>
          <w:rtl/>
        </w:rPr>
        <w:t>ת לביסוס עבירת הפרת אמונים בתאגיד. ראשית משום שכתב האישום נעדר התייחסות לפגיעה או נזק כלשהו שנגרמו לבזק כתוצאה מן המעשים המיוחסים למשיבים. מעבר לכך, ההימצאות בניגוד עניינים במקרה זה הייתה מובנית בתוך הסיטואציה הנתונה וידועה לכל, ולכן היא כשלעצמה חסרת משמעות. במצב דברים זה, מכיוון שלא מיוחסת למשיבים פעולה לשם השפעה על המשא ומתן תוך ניצול לרעה של מעמדם בחברה, אין מדובר בהפרת אמונים. בצדק גם נקבע כי עובדות כתב האישום לא מלמדות על פן מחמיר נוסף.</w:t>
      </w:r>
    </w:p>
    <w:p w:rsidR="008A4DD4" w:rsidRPr="00531BD3" w:rsidRDefault="008A4DD4" w:rsidP="008A4DD4">
      <w:pPr>
        <w:pStyle w:val="Ruller4"/>
        <w:numPr>
          <w:ilvl w:val="0"/>
          <w:numId w:val="0"/>
        </w:numPr>
      </w:pPr>
    </w:p>
    <w:p w:rsidR="008A4DD4" w:rsidRPr="00531BD3" w:rsidRDefault="008A4DD4" w:rsidP="008A4DD4">
      <w:pPr>
        <w:pStyle w:val="Ruller4"/>
        <w:rPr>
          <w:rtl/>
        </w:rPr>
      </w:pPr>
      <w:r w:rsidRPr="00531BD3">
        <w:rPr>
          <w:rFonts w:hint="cs"/>
          <w:rtl/>
        </w:rPr>
        <w:t xml:space="preserve">הוא הדין גם באשר לעובדות שנטען כי מגבשות עבירת דיווח. הדיווח היה נכון ומדויק, ואין כל בסיס לטענה לפיה הוא כלל פרט מטעה כלשהו. מעבר לכך הוסיף משיב 2 כי לא ברורה הטלת האחריות על כתפיו בשל פרסום דוחות העסקה, בנסיבות שבהן הוא הוגדר מראש כבעל עניין אישי וניהל משא ומתן מול בזק מטעם הצד השני לעסקה. </w:t>
      </w:r>
    </w:p>
    <w:p w:rsidR="008A4DD4" w:rsidRPr="00531BD3" w:rsidRDefault="008A4DD4" w:rsidP="008A4DD4">
      <w:pPr>
        <w:pStyle w:val="Ruller4"/>
        <w:numPr>
          <w:ilvl w:val="0"/>
          <w:numId w:val="0"/>
        </w:numPr>
      </w:pPr>
    </w:p>
    <w:p w:rsidR="008A4DD4" w:rsidRPr="00531BD3" w:rsidRDefault="008A4DD4" w:rsidP="008A4DD4">
      <w:pPr>
        <w:pStyle w:val="Ruller4"/>
      </w:pPr>
      <w:r w:rsidRPr="00531BD3">
        <w:rPr>
          <w:rFonts w:hint="cs"/>
          <w:rtl/>
        </w:rPr>
        <w:t xml:space="preserve">משיב 3 הוסיף גם הוא, כי אין מקום להתערב בהחלטה שסיימה את ההליכים בעניינו ולוּ מפאת עינוי הדין שנגרם לו מעצם ניהול ההליך הפלילי נגדו במשך שנים והתנהלות מערכת שלטון החוק במקרה זה. טעם זה מצדיק לטענתו שלא להשיב את הדיון לשמיעת ראיות בעניינו. כמו כן חזר משיב 3 על הטענה שהעלה בבית המשפט המחוזי על פיה מרגע שמונתה ועדה מיוחדת בבזק לצורך ניהול המשא ומתן מול קבוצת יורוקום, הוא יכול היה לפעול אך ורק כנושא משרה בקבוצות יורוקום ולא כנושא משרה בבזק. מרגע הקמת הוועדה הוא נחשב כצד לעומתי לחברת בזק, ובהתאם לדיני החברות הוא חב באותה שעה ובמסגרת העסקה חובת אמונים לקבוצת יורוקום בלבד, וממילא הוא לא יכול היה לחוב לבזק כל חובת אמונים בקשר לעסקה זו ולא מעל באמונה של בזק. כפועל יוצא מכך גם אין מקום להאשימו בעבירה של קבלת דבר במרמה המיוחסת </w:t>
      </w:r>
      <w:r w:rsidRPr="00531BD3">
        <w:rPr>
          <w:rFonts w:hint="cs"/>
          <w:rtl/>
        </w:rPr>
        <w:lastRenderedPageBreak/>
        <w:t xml:space="preserve">לו רק ב"כובעו" כנושא משרה בבזק, ובאופן דומה גם ביחס לעבירות הדיווח שבכתב האישום אין להלום הטלת אחריות פלילית בנסיבות העניין בהן הוא כלל לא פעל כנושא משרה בבזק במסגרת העסקה, וממילא לא היה מעורב בדיווח. </w:t>
      </w:r>
    </w:p>
    <w:p w:rsidR="008A4DD4" w:rsidRPr="00531BD3" w:rsidRDefault="008A4DD4" w:rsidP="008A4DD4">
      <w:pPr>
        <w:pStyle w:val="Ruller4"/>
        <w:numPr>
          <w:ilvl w:val="0"/>
          <w:numId w:val="0"/>
        </w:numPr>
      </w:pPr>
    </w:p>
    <w:p w:rsidR="008A4DD4" w:rsidRPr="00531BD3" w:rsidRDefault="008A4DD4" w:rsidP="008A4DD4">
      <w:pPr>
        <w:pStyle w:val="Ruller4"/>
        <w:rPr>
          <w:rtl/>
        </w:rPr>
      </w:pPr>
      <w:r w:rsidRPr="00531BD3">
        <w:rPr>
          <w:rFonts w:hint="cs"/>
          <w:rtl/>
        </w:rPr>
        <w:t>משיבה 4 הוסיפה כי המערערת כורכת את טענותיה כלפיה יחד עם יתר המשיבים, אף כי היא איננה נמנית על בעלי העניין המנויים בניגוד עניינים. כך למשל, לא היה מקום להעמידה לדין בעבירה של קבלת דבר במרמה משום שהיא לא הפיקה כל יתרון תחרותי מהמידע וגם הנחת דעת מוסדות בזק אינה נוגעת לה. המידע שהתקבל בידיה ניתן לה מתוקף תפקידה כמזכירת הוועדה ולא בנסיבות של מרמה, ולא נטען כי קיבלה כל טובת הנאה כתוצאה מכך.</w:t>
      </w:r>
    </w:p>
    <w:p w:rsidR="008A4DD4" w:rsidRPr="00531BD3" w:rsidRDefault="008A4DD4" w:rsidP="008A4DD4">
      <w:pPr>
        <w:pStyle w:val="Ruller4"/>
        <w:numPr>
          <w:ilvl w:val="0"/>
          <w:numId w:val="0"/>
        </w:numPr>
      </w:pPr>
    </w:p>
    <w:p w:rsidR="008A4DD4" w:rsidRPr="00531BD3" w:rsidRDefault="008A4DD4" w:rsidP="008A4DD4">
      <w:pPr>
        <w:pStyle w:val="Ruller4"/>
        <w:rPr>
          <w:rtl/>
        </w:rPr>
      </w:pPr>
      <w:r w:rsidRPr="00531BD3">
        <w:rPr>
          <w:rFonts w:ascii="Century" w:hAnsi="Century" w:hint="eastAsia"/>
          <w:sz w:val="22"/>
          <w:rtl/>
        </w:rPr>
        <w:t>יורוקום</w:t>
      </w:r>
      <w:r w:rsidRPr="00531BD3">
        <w:rPr>
          <w:rFonts w:ascii="Century" w:hAnsi="Century"/>
          <w:sz w:val="22"/>
          <w:rtl/>
        </w:rPr>
        <w:t xml:space="preserve"> </w:t>
      </w:r>
      <w:proofErr w:type="spellStart"/>
      <w:r w:rsidRPr="00531BD3">
        <w:rPr>
          <w:rFonts w:ascii="Century" w:hAnsi="Century" w:hint="eastAsia"/>
          <w:sz w:val="22"/>
          <w:rtl/>
        </w:rPr>
        <w:t>די</w:t>
      </w:r>
      <w:r w:rsidRPr="00531BD3">
        <w:rPr>
          <w:rFonts w:ascii="Century" w:hAnsi="Century"/>
          <w:sz w:val="22"/>
          <w:rtl/>
        </w:rPr>
        <w:t>.</w:t>
      </w:r>
      <w:r w:rsidRPr="00531BD3">
        <w:rPr>
          <w:rFonts w:ascii="Century" w:hAnsi="Century" w:hint="eastAsia"/>
          <w:sz w:val="22"/>
          <w:rtl/>
        </w:rPr>
        <w:t>בי</w:t>
      </w:r>
      <w:r w:rsidRPr="00531BD3">
        <w:rPr>
          <w:rFonts w:ascii="Century" w:hAnsi="Century"/>
          <w:sz w:val="22"/>
          <w:rtl/>
        </w:rPr>
        <w:t>.</w:t>
      </w:r>
      <w:r w:rsidRPr="00531BD3">
        <w:rPr>
          <w:rFonts w:ascii="Century" w:hAnsi="Century" w:hint="eastAsia"/>
          <w:sz w:val="22"/>
          <w:rtl/>
        </w:rPr>
        <w:t>אס</w:t>
      </w:r>
      <w:proofErr w:type="spellEnd"/>
      <w:r w:rsidRPr="00531BD3">
        <w:rPr>
          <w:rFonts w:ascii="Century" w:hAnsi="Century"/>
          <w:sz w:val="22"/>
          <w:rtl/>
        </w:rPr>
        <w:t xml:space="preserve"> </w:t>
      </w:r>
      <w:r w:rsidRPr="00531BD3">
        <w:rPr>
          <w:rFonts w:ascii="Century" w:hAnsi="Century" w:hint="eastAsia"/>
          <w:sz w:val="22"/>
          <w:rtl/>
        </w:rPr>
        <w:t>ויורוקום</w:t>
      </w:r>
      <w:r w:rsidRPr="00531BD3">
        <w:rPr>
          <w:rFonts w:ascii="Century" w:hAnsi="Century"/>
          <w:sz w:val="22"/>
          <w:rtl/>
        </w:rPr>
        <w:t xml:space="preserve"> </w:t>
      </w:r>
      <w:r w:rsidRPr="00531BD3">
        <w:rPr>
          <w:rFonts w:ascii="Century" w:hAnsi="Century" w:hint="eastAsia"/>
          <w:sz w:val="22"/>
          <w:rtl/>
        </w:rPr>
        <w:t>אחזקות</w:t>
      </w:r>
      <w:r w:rsidRPr="00531BD3">
        <w:rPr>
          <w:rFonts w:hint="cs"/>
          <w:rtl/>
        </w:rPr>
        <w:t xml:space="preserve"> ציינו שתיהן כי הן מצויות בהליכי פירוק, וכי לגבי כל אחת מהן נחתם הסדר טיעון אשר טרם אושר על ידי בית המשפט המחוזי. יורוקום אחזקות הוסיפה כי לעמדתה הערעור הוגש נגדה שלא כדין, שכן אין חולק שמדובר בהחלטת ביניים שאינה מסיימת את ההליך הפלילי בעניינה ואין מדובר במקרה כה חריג ויוצא דופן המצדיק סטייה מהכלל.</w:t>
      </w:r>
    </w:p>
    <w:p w:rsidR="008A4DD4" w:rsidRPr="00531BD3" w:rsidRDefault="008A4DD4" w:rsidP="008A4DD4">
      <w:pPr>
        <w:pStyle w:val="Ruller41"/>
        <w:rPr>
          <w:rtl/>
        </w:rPr>
      </w:pPr>
    </w:p>
    <w:p w:rsidR="008A4DD4" w:rsidRPr="00531BD3" w:rsidRDefault="008A4DD4" w:rsidP="008A4DD4">
      <w:pPr>
        <w:pStyle w:val="Ruller41"/>
        <w:rPr>
          <w:rFonts w:ascii="Century" w:hAnsi="Century" w:cs="Miriam"/>
          <w:b/>
          <w:spacing w:val="0"/>
          <w:szCs w:val="24"/>
          <w:rtl/>
        </w:rPr>
      </w:pPr>
      <w:r w:rsidRPr="00531BD3">
        <w:rPr>
          <w:rFonts w:ascii="Century" w:hAnsi="Century" w:cs="Miriam" w:hint="cs"/>
          <w:b/>
          <w:spacing w:val="0"/>
          <w:szCs w:val="24"/>
          <w:rtl/>
        </w:rPr>
        <w:t xml:space="preserve">דיון והכרעה </w:t>
      </w:r>
    </w:p>
    <w:p w:rsidR="008A4DD4" w:rsidRPr="00531BD3" w:rsidRDefault="008A4DD4" w:rsidP="008A4DD4">
      <w:pPr>
        <w:pStyle w:val="Ruller4"/>
      </w:pPr>
      <w:r w:rsidRPr="00531BD3">
        <w:rPr>
          <w:rFonts w:hint="cs"/>
          <w:rtl/>
        </w:rPr>
        <w:t>תחילה יש לפתוח במושכלות היסוד, הידועות וגלויות היטב למדינה-המערערת, כי זכות ערעור על החלטת ביניים בהליך הפלילי קיימת רק מקום שבו ישנה הוראה מפורשת בחוק המורה על כך (</w:t>
      </w:r>
      <w:r w:rsidRPr="00531BD3">
        <w:rPr>
          <w:rFonts w:hint="eastAsia"/>
          <w:rtl/>
        </w:rPr>
        <w:t>ע</w:t>
      </w:r>
      <w:r w:rsidRPr="00531BD3">
        <w:rPr>
          <w:rtl/>
        </w:rPr>
        <w:t>"</w:t>
      </w:r>
      <w:r w:rsidRPr="00531BD3">
        <w:rPr>
          <w:rFonts w:hint="eastAsia"/>
          <w:rtl/>
        </w:rPr>
        <w:t>פ</w:t>
      </w:r>
      <w:r w:rsidRPr="00531BD3">
        <w:rPr>
          <w:rtl/>
        </w:rPr>
        <w:t xml:space="preserve"> 217/64 </w:t>
      </w:r>
      <w:r w:rsidRPr="00531BD3">
        <w:rPr>
          <w:rFonts w:ascii="Century" w:hAnsi="Century" w:cs="Miriam" w:hint="eastAsia"/>
          <w:b/>
          <w:spacing w:val="0"/>
          <w:sz w:val="22"/>
          <w:szCs w:val="24"/>
          <w:rtl/>
        </w:rPr>
        <w:t>קפלן</w:t>
      </w:r>
      <w:r w:rsidRPr="00531BD3">
        <w:rPr>
          <w:rFonts w:ascii="Century" w:hAnsi="Century" w:cs="Miriam"/>
          <w:b/>
          <w:spacing w:val="0"/>
          <w:sz w:val="22"/>
          <w:szCs w:val="24"/>
          <w:rtl/>
        </w:rPr>
        <w:t xml:space="preserve"> </w:t>
      </w:r>
      <w:r w:rsidRPr="00531BD3">
        <w:rPr>
          <w:rFonts w:ascii="Century" w:hAnsi="Century" w:cs="Miriam" w:hint="eastAsia"/>
          <w:b/>
          <w:spacing w:val="0"/>
          <w:sz w:val="22"/>
          <w:szCs w:val="24"/>
          <w:rtl/>
        </w:rPr>
        <w:t>נ</w:t>
      </w:r>
      <w:r w:rsidRPr="00531BD3">
        <w:rPr>
          <w:rFonts w:ascii="Century" w:hAnsi="Century" w:cs="Miriam"/>
          <w:b/>
          <w:spacing w:val="0"/>
          <w:sz w:val="22"/>
          <w:szCs w:val="24"/>
          <w:rtl/>
        </w:rPr>
        <w:t xml:space="preserve">' </w:t>
      </w:r>
      <w:r w:rsidRPr="00531BD3">
        <w:rPr>
          <w:rFonts w:ascii="Century" w:hAnsi="Century" w:cs="Miriam" w:hint="eastAsia"/>
          <w:b/>
          <w:spacing w:val="0"/>
          <w:sz w:val="22"/>
          <w:szCs w:val="24"/>
          <w:rtl/>
        </w:rPr>
        <w:t>היועץ</w:t>
      </w:r>
      <w:r w:rsidRPr="00531BD3">
        <w:rPr>
          <w:rFonts w:ascii="Century" w:hAnsi="Century" w:cs="Miriam"/>
          <w:b/>
          <w:spacing w:val="0"/>
          <w:sz w:val="22"/>
          <w:szCs w:val="24"/>
          <w:rtl/>
        </w:rPr>
        <w:t xml:space="preserve"> </w:t>
      </w:r>
      <w:r w:rsidRPr="00531BD3">
        <w:rPr>
          <w:rFonts w:ascii="Century" w:hAnsi="Century" w:cs="Miriam" w:hint="eastAsia"/>
          <w:b/>
          <w:spacing w:val="0"/>
          <w:sz w:val="22"/>
          <w:szCs w:val="24"/>
          <w:rtl/>
        </w:rPr>
        <w:t>המשפטי</w:t>
      </w:r>
      <w:r w:rsidRPr="00531BD3">
        <w:rPr>
          <w:rFonts w:ascii="Century" w:hAnsi="Century" w:cs="Miriam"/>
          <w:b/>
          <w:spacing w:val="0"/>
          <w:sz w:val="22"/>
          <w:szCs w:val="24"/>
          <w:rtl/>
        </w:rPr>
        <w:t xml:space="preserve"> </w:t>
      </w:r>
      <w:r w:rsidRPr="00531BD3">
        <w:rPr>
          <w:rFonts w:ascii="Century" w:hAnsi="Century" w:cs="Miriam" w:hint="eastAsia"/>
          <w:b/>
          <w:spacing w:val="0"/>
          <w:sz w:val="22"/>
          <w:szCs w:val="24"/>
          <w:rtl/>
        </w:rPr>
        <w:t>לממשלה</w:t>
      </w:r>
      <w:r w:rsidRPr="00531BD3">
        <w:rPr>
          <w:rtl/>
        </w:rPr>
        <w:t xml:space="preserve">, </w:t>
      </w:r>
      <w:r w:rsidRPr="00531BD3">
        <w:rPr>
          <w:rFonts w:hint="eastAsia"/>
          <w:rtl/>
        </w:rPr>
        <w:t>פ</w:t>
      </w:r>
      <w:r w:rsidRPr="00531BD3">
        <w:rPr>
          <w:rtl/>
        </w:rPr>
        <w:t>"</w:t>
      </w:r>
      <w:r w:rsidRPr="00531BD3">
        <w:rPr>
          <w:rFonts w:hint="eastAsia"/>
          <w:rtl/>
        </w:rPr>
        <w:t>ד</w:t>
      </w:r>
      <w:r w:rsidRPr="00531BD3">
        <w:rPr>
          <w:rtl/>
        </w:rPr>
        <w:t xml:space="preserve"> </w:t>
      </w:r>
      <w:proofErr w:type="spellStart"/>
      <w:r w:rsidRPr="00531BD3">
        <w:rPr>
          <w:rFonts w:hint="eastAsia"/>
          <w:rtl/>
        </w:rPr>
        <w:t>יט</w:t>
      </w:r>
      <w:proofErr w:type="spellEnd"/>
      <w:r w:rsidRPr="00531BD3">
        <w:rPr>
          <w:rtl/>
        </w:rPr>
        <w:t>(1) 357, 360 (1965</w:t>
      </w:r>
      <w:r w:rsidRPr="00531BD3">
        <w:rPr>
          <w:rFonts w:hint="cs"/>
          <w:rtl/>
        </w:rPr>
        <w:t xml:space="preserve">); </w:t>
      </w:r>
      <w:r w:rsidRPr="00531BD3">
        <w:rPr>
          <w:rFonts w:hint="eastAsia"/>
          <w:rtl/>
        </w:rPr>
        <w:t>בג</w:t>
      </w:r>
      <w:r w:rsidRPr="00531BD3">
        <w:rPr>
          <w:rtl/>
        </w:rPr>
        <w:t>"</w:t>
      </w:r>
      <w:r w:rsidRPr="00531BD3">
        <w:rPr>
          <w:rFonts w:hint="eastAsia"/>
          <w:rtl/>
        </w:rPr>
        <w:t>ץ</w:t>
      </w:r>
      <w:r w:rsidRPr="00531BD3">
        <w:rPr>
          <w:rtl/>
        </w:rPr>
        <w:t xml:space="preserve"> 11339/05 </w:t>
      </w:r>
      <w:r w:rsidRPr="00531BD3">
        <w:rPr>
          <w:rFonts w:ascii="Century" w:hAnsi="Century" w:cs="Miriam" w:hint="eastAsia"/>
          <w:b/>
          <w:spacing w:val="0"/>
          <w:sz w:val="22"/>
          <w:szCs w:val="24"/>
          <w:rtl/>
        </w:rPr>
        <w:t>מדינת</w:t>
      </w:r>
      <w:r w:rsidRPr="00531BD3">
        <w:rPr>
          <w:rFonts w:ascii="Century" w:hAnsi="Century" w:cs="Miriam"/>
          <w:b/>
          <w:spacing w:val="0"/>
          <w:sz w:val="22"/>
          <w:szCs w:val="24"/>
          <w:rtl/>
        </w:rPr>
        <w:t xml:space="preserve"> </w:t>
      </w:r>
      <w:r w:rsidRPr="00531BD3">
        <w:rPr>
          <w:rFonts w:ascii="Century" w:hAnsi="Century" w:cs="Miriam" w:hint="eastAsia"/>
          <w:b/>
          <w:spacing w:val="0"/>
          <w:sz w:val="22"/>
          <w:szCs w:val="24"/>
          <w:rtl/>
        </w:rPr>
        <w:t>ישראל</w:t>
      </w:r>
      <w:r w:rsidRPr="00531BD3">
        <w:rPr>
          <w:rFonts w:ascii="Century" w:hAnsi="Century" w:cs="Miriam"/>
          <w:b/>
          <w:spacing w:val="0"/>
          <w:sz w:val="22"/>
          <w:szCs w:val="24"/>
          <w:rtl/>
        </w:rPr>
        <w:t xml:space="preserve"> </w:t>
      </w:r>
      <w:r w:rsidRPr="00531BD3">
        <w:rPr>
          <w:rFonts w:ascii="Century" w:hAnsi="Century" w:cs="Miriam" w:hint="eastAsia"/>
          <w:b/>
          <w:spacing w:val="0"/>
          <w:sz w:val="22"/>
          <w:szCs w:val="24"/>
          <w:rtl/>
        </w:rPr>
        <w:t>נ</w:t>
      </w:r>
      <w:r w:rsidRPr="00531BD3">
        <w:rPr>
          <w:rFonts w:ascii="Century" w:hAnsi="Century" w:cs="Miriam"/>
          <w:b/>
          <w:spacing w:val="0"/>
          <w:sz w:val="22"/>
          <w:szCs w:val="24"/>
          <w:rtl/>
        </w:rPr>
        <w:t xml:space="preserve">' </w:t>
      </w:r>
      <w:r w:rsidRPr="00531BD3">
        <w:rPr>
          <w:rFonts w:ascii="Century" w:hAnsi="Century" w:cs="Miriam" w:hint="eastAsia"/>
          <w:b/>
          <w:spacing w:val="0"/>
          <w:sz w:val="22"/>
          <w:szCs w:val="24"/>
          <w:rtl/>
        </w:rPr>
        <w:t>בית</w:t>
      </w:r>
      <w:r w:rsidRPr="00531BD3">
        <w:rPr>
          <w:rFonts w:ascii="Century" w:hAnsi="Century" w:cs="Miriam"/>
          <w:b/>
          <w:spacing w:val="0"/>
          <w:sz w:val="22"/>
          <w:szCs w:val="24"/>
          <w:rtl/>
        </w:rPr>
        <w:t xml:space="preserve"> </w:t>
      </w:r>
      <w:r w:rsidRPr="00531BD3">
        <w:rPr>
          <w:rFonts w:ascii="Century" w:hAnsi="Century" w:cs="Miriam" w:hint="eastAsia"/>
          <w:b/>
          <w:spacing w:val="0"/>
          <w:sz w:val="22"/>
          <w:szCs w:val="24"/>
          <w:rtl/>
        </w:rPr>
        <w:t>המשפט</w:t>
      </w:r>
      <w:r w:rsidRPr="00531BD3">
        <w:rPr>
          <w:rFonts w:ascii="Century" w:hAnsi="Century" w:cs="Miriam"/>
          <w:b/>
          <w:spacing w:val="0"/>
          <w:sz w:val="22"/>
          <w:szCs w:val="24"/>
          <w:rtl/>
        </w:rPr>
        <w:t xml:space="preserve"> </w:t>
      </w:r>
      <w:r w:rsidRPr="00531BD3">
        <w:rPr>
          <w:rFonts w:ascii="Century" w:hAnsi="Century" w:cs="Miriam" w:hint="eastAsia"/>
          <w:b/>
          <w:spacing w:val="0"/>
          <w:sz w:val="22"/>
          <w:szCs w:val="24"/>
          <w:rtl/>
        </w:rPr>
        <w:t>המחוזי</w:t>
      </w:r>
      <w:r w:rsidRPr="00531BD3">
        <w:rPr>
          <w:rFonts w:ascii="Century" w:hAnsi="Century" w:cs="Miriam"/>
          <w:b/>
          <w:spacing w:val="0"/>
          <w:sz w:val="22"/>
          <w:szCs w:val="24"/>
          <w:rtl/>
        </w:rPr>
        <w:t xml:space="preserve"> </w:t>
      </w:r>
      <w:r w:rsidRPr="00531BD3">
        <w:rPr>
          <w:rFonts w:ascii="Century" w:hAnsi="Century" w:cs="Miriam" w:hint="cs"/>
          <w:b/>
          <w:spacing w:val="0"/>
          <w:sz w:val="22"/>
          <w:szCs w:val="24"/>
          <w:rtl/>
        </w:rPr>
        <w:t>ב</w:t>
      </w:r>
      <w:r w:rsidRPr="00531BD3">
        <w:rPr>
          <w:rFonts w:ascii="Century" w:hAnsi="Century" w:cs="Miriam" w:hint="eastAsia"/>
          <w:b/>
          <w:spacing w:val="0"/>
          <w:sz w:val="22"/>
          <w:szCs w:val="24"/>
          <w:rtl/>
        </w:rPr>
        <w:t>באר</w:t>
      </w:r>
      <w:r w:rsidRPr="00531BD3">
        <w:rPr>
          <w:rFonts w:ascii="Century" w:hAnsi="Century" w:cs="Miriam" w:hint="cs"/>
          <w:b/>
          <w:spacing w:val="0"/>
          <w:sz w:val="22"/>
          <w:szCs w:val="24"/>
          <w:rtl/>
        </w:rPr>
        <w:t>-</w:t>
      </w:r>
      <w:r w:rsidRPr="00531BD3">
        <w:rPr>
          <w:rFonts w:ascii="Century" w:hAnsi="Century" w:cs="Miriam" w:hint="eastAsia"/>
          <w:b/>
          <w:spacing w:val="0"/>
          <w:sz w:val="22"/>
          <w:szCs w:val="24"/>
          <w:rtl/>
        </w:rPr>
        <w:t>שבע</w:t>
      </w:r>
      <w:r w:rsidRPr="00531BD3">
        <w:rPr>
          <w:rtl/>
        </w:rPr>
        <w:t xml:space="preserve">, </w:t>
      </w:r>
      <w:r w:rsidRPr="00531BD3">
        <w:rPr>
          <w:rFonts w:hint="eastAsia"/>
          <w:rtl/>
        </w:rPr>
        <w:t>פ</w:t>
      </w:r>
      <w:r w:rsidRPr="00531BD3">
        <w:rPr>
          <w:rtl/>
        </w:rPr>
        <w:t>"</w:t>
      </w:r>
      <w:r w:rsidRPr="00531BD3">
        <w:rPr>
          <w:rFonts w:hint="eastAsia"/>
          <w:rtl/>
        </w:rPr>
        <w:t>ד</w:t>
      </w:r>
      <w:r w:rsidRPr="00531BD3">
        <w:rPr>
          <w:rtl/>
        </w:rPr>
        <w:t xml:space="preserve"> </w:t>
      </w:r>
      <w:proofErr w:type="spellStart"/>
      <w:r w:rsidRPr="00531BD3">
        <w:rPr>
          <w:rFonts w:hint="eastAsia"/>
          <w:rtl/>
        </w:rPr>
        <w:t>סא</w:t>
      </w:r>
      <w:proofErr w:type="spellEnd"/>
      <w:r w:rsidRPr="00531BD3">
        <w:rPr>
          <w:rtl/>
        </w:rPr>
        <w:t>(3) 93, 132-130 (2006);</w:t>
      </w:r>
      <w:r w:rsidRPr="00531BD3">
        <w:rPr>
          <w:rFonts w:hint="cs"/>
          <w:rtl/>
        </w:rPr>
        <w:t xml:space="preserve"> </w:t>
      </w:r>
      <w:r w:rsidRPr="00531BD3">
        <w:rPr>
          <w:rFonts w:hint="eastAsia"/>
          <w:rtl/>
        </w:rPr>
        <w:t>יעקב</w:t>
      </w:r>
      <w:r w:rsidRPr="00531BD3">
        <w:rPr>
          <w:rtl/>
        </w:rPr>
        <w:t xml:space="preserve"> </w:t>
      </w:r>
      <w:r w:rsidRPr="00531BD3">
        <w:rPr>
          <w:rFonts w:hint="eastAsia"/>
          <w:rtl/>
        </w:rPr>
        <w:t>קדמי</w:t>
      </w:r>
      <w:r w:rsidRPr="00531BD3">
        <w:rPr>
          <w:rtl/>
        </w:rPr>
        <w:t xml:space="preserve"> </w:t>
      </w:r>
      <w:r w:rsidRPr="00531BD3">
        <w:rPr>
          <w:rFonts w:ascii="Century" w:hAnsi="Century" w:cs="Miriam" w:hint="eastAsia"/>
          <w:b/>
          <w:spacing w:val="0"/>
          <w:sz w:val="22"/>
          <w:szCs w:val="24"/>
          <w:rtl/>
        </w:rPr>
        <w:t>על</w:t>
      </w:r>
      <w:r w:rsidRPr="00531BD3">
        <w:rPr>
          <w:rFonts w:ascii="Century" w:hAnsi="Century" w:cs="Miriam"/>
          <w:b/>
          <w:spacing w:val="0"/>
          <w:sz w:val="22"/>
          <w:szCs w:val="24"/>
          <w:rtl/>
        </w:rPr>
        <w:t xml:space="preserve"> </w:t>
      </w:r>
      <w:r w:rsidRPr="00531BD3">
        <w:rPr>
          <w:rFonts w:ascii="Century" w:hAnsi="Century" w:cs="Miriam" w:hint="eastAsia"/>
          <w:b/>
          <w:spacing w:val="0"/>
          <w:sz w:val="22"/>
          <w:szCs w:val="24"/>
          <w:rtl/>
        </w:rPr>
        <w:t>סדר</w:t>
      </w:r>
      <w:r w:rsidRPr="00531BD3">
        <w:rPr>
          <w:rFonts w:ascii="Century" w:hAnsi="Century" w:cs="Miriam"/>
          <w:b/>
          <w:spacing w:val="0"/>
          <w:sz w:val="22"/>
          <w:szCs w:val="24"/>
          <w:rtl/>
        </w:rPr>
        <w:t xml:space="preserve"> </w:t>
      </w:r>
      <w:r w:rsidRPr="00531BD3">
        <w:rPr>
          <w:rFonts w:ascii="Century" w:hAnsi="Century" w:cs="Miriam" w:hint="eastAsia"/>
          <w:b/>
          <w:spacing w:val="0"/>
          <w:sz w:val="22"/>
          <w:szCs w:val="24"/>
          <w:rtl/>
        </w:rPr>
        <w:t>הדין</w:t>
      </w:r>
      <w:r w:rsidRPr="00531BD3">
        <w:rPr>
          <w:rFonts w:ascii="Century" w:hAnsi="Century" w:cs="Miriam"/>
          <w:b/>
          <w:spacing w:val="0"/>
          <w:sz w:val="22"/>
          <w:szCs w:val="24"/>
          <w:rtl/>
        </w:rPr>
        <w:t xml:space="preserve"> </w:t>
      </w:r>
      <w:r w:rsidRPr="00531BD3">
        <w:rPr>
          <w:rFonts w:ascii="Century" w:hAnsi="Century" w:cs="Miriam" w:hint="eastAsia"/>
          <w:b/>
          <w:spacing w:val="0"/>
          <w:sz w:val="22"/>
          <w:szCs w:val="24"/>
          <w:rtl/>
        </w:rPr>
        <w:t>בפלילים</w:t>
      </w:r>
      <w:r w:rsidRPr="00531BD3">
        <w:rPr>
          <w:rFonts w:ascii="Century" w:hAnsi="Century" w:cs="Miriam"/>
          <w:b/>
          <w:spacing w:val="0"/>
          <w:sz w:val="22"/>
          <w:szCs w:val="24"/>
          <w:rtl/>
        </w:rPr>
        <w:t xml:space="preserve"> – </w:t>
      </w:r>
      <w:r w:rsidRPr="00531BD3">
        <w:rPr>
          <w:rFonts w:ascii="Century" w:hAnsi="Century" w:cs="Miriam" w:hint="eastAsia"/>
          <w:b/>
          <w:spacing w:val="0"/>
          <w:sz w:val="22"/>
          <w:szCs w:val="24"/>
          <w:rtl/>
        </w:rPr>
        <w:t>חלק</w:t>
      </w:r>
      <w:r w:rsidRPr="00531BD3">
        <w:rPr>
          <w:rFonts w:ascii="Century" w:hAnsi="Century" w:cs="Miriam"/>
          <w:b/>
          <w:spacing w:val="0"/>
          <w:sz w:val="22"/>
          <w:szCs w:val="24"/>
          <w:rtl/>
        </w:rPr>
        <w:t xml:space="preserve"> </w:t>
      </w:r>
      <w:r w:rsidRPr="00531BD3">
        <w:rPr>
          <w:rFonts w:ascii="Century" w:hAnsi="Century" w:cs="Miriam" w:hint="eastAsia"/>
          <w:b/>
          <w:spacing w:val="0"/>
          <w:sz w:val="22"/>
          <w:szCs w:val="24"/>
          <w:rtl/>
        </w:rPr>
        <w:t>שני</w:t>
      </w:r>
      <w:r w:rsidRPr="00531BD3">
        <w:rPr>
          <w:rFonts w:ascii="Century" w:hAnsi="Century" w:cs="Miriam"/>
          <w:b/>
          <w:spacing w:val="0"/>
          <w:sz w:val="22"/>
          <w:szCs w:val="24"/>
          <w:rtl/>
        </w:rPr>
        <w:t xml:space="preserve"> </w:t>
      </w:r>
      <w:r w:rsidRPr="00531BD3">
        <w:rPr>
          <w:rFonts w:ascii="Century" w:hAnsi="Century" w:cs="Miriam" w:hint="eastAsia"/>
          <w:b/>
          <w:spacing w:val="0"/>
          <w:sz w:val="22"/>
          <w:szCs w:val="24"/>
          <w:rtl/>
        </w:rPr>
        <w:t>הליכים</w:t>
      </w:r>
      <w:r w:rsidRPr="00531BD3">
        <w:rPr>
          <w:rFonts w:ascii="Century" w:hAnsi="Century" w:cs="Miriam"/>
          <w:b/>
          <w:spacing w:val="0"/>
          <w:sz w:val="22"/>
          <w:szCs w:val="24"/>
          <w:rtl/>
        </w:rPr>
        <w:t xml:space="preserve"> </w:t>
      </w:r>
      <w:r w:rsidRPr="00531BD3">
        <w:rPr>
          <w:rFonts w:ascii="Century" w:hAnsi="Century" w:cs="Miriam" w:hint="eastAsia"/>
          <w:b/>
          <w:spacing w:val="0"/>
          <w:sz w:val="22"/>
          <w:szCs w:val="24"/>
          <w:rtl/>
        </w:rPr>
        <w:t>שלאחר</w:t>
      </w:r>
      <w:r w:rsidRPr="00531BD3">
        <w:rPr>
          <w:rFonts w:ascii="Century" w:hAnsi="Century" w:cs="Miriam"/>
          <w:b/>
          <w:spacing w:val="0"/>
          <w:sz w:val="22"/>
          <w:szCs w:val="24"/>
          <w:rtl/>
        </w:rPr>
        <w:t xml:space="preserve"> </w:t>
      </w:r>
      <w:r w:rsidRPr="00531BD3">
        <w:rPr>
          <w:rFonts w:ascii="Century" w:hAnsi="Century" w:cs="Miriam" w:hint="eastAsia"/>
          <w:b/>
          <w:spacing w:val="0"/>
          <w:sz w:val="22"/>
          <w:szCs w:val="24"/>
          <w:rtl/>
        </w:rPr>
        <w:t>כתב</w:t>
      </w:r>
      <w:r w:rsidRPr="00531BD3">
        <w:rPr>
          <w:rFonts w:ascii="Century" w:hAnsi="Century" w:cs="Miriam"/>
          <w:b/>
          <w:spacing w:val="0"/>
          <w:sz w:val="22"/>
          <w:szCs w:val="24"/>
          <w:rtl/>
        </w:rPr>
        <w:t xml:space="preserve"> </w:t>
      </w:r>
      <w:r w:rsidRPr="00531BD3">
        <w:rPr>
          <w:rFonts w:ascii="Century" w:hAnsi="Century" w:cs="Miriam" w:hint="eastAsia"/>
          <w:b/>
          <w:spacing w:val="0"/>
          <w:sz w:val="22"/>
          <w:szCs w:val="24"/>
          <w:rtl/>
        </w:rPr>
        <w:t>אישום</w:t>
      </w:r>
      <w:r w:rsidRPr="00531BD3">
        <w:rPr>
          <w:rtl/>
        </w:rPr>
        <w:t xml:space="preserve"> 1844-1842 (2009) (</w:t>
      </w:r>
      <w:r w:rsidRPr="00531BD3">
        <w:rPr>
          <w:rFonts w:hint="eastAsia"/>
          <w:rtl/>
        </w:rPr>
        <w:t>להלן</w:t>
      </w:r>
      <w:r w:rsidRPr="00531BD3">
        <w:rPr>
          <w:rtl/>
        </w:rPr>
        <w:t xml:space="preserve">: </w:t>
      </w:r>
      <w:r w:rsidRPr="00531BD3">
        <w:rPr>
          <w:rFonts w:ascii="Century" w:hAnsi="Century" w:cs="Miriam" w:hint="eastAsia"/>
          <w:b/>
          <w:spacing w:val="0"/>
          <w:sz w:val="22"/>
          <w:szCs w:val="24"/>
          <w:rtl/>
        </w:rPr>
        <w:t>קדמי</w:t>
      </w:r>
      <w:r w:rsidRPr="00531BD3">
        <w:rPr>
          <w:rtl/>
        </w:rPr>
        <w:t xml:space="preserve">)). </w:t>
      </w:r>
      <w:r w:rsidRPr="00531BD3">
        <w:rPr>
          <w:rFonts w:hint="eastAsia"/>
          <w:rtl/>
        </w:rPr>
        <w:t>אין</w:t>
      </w:r>
      <w:r w:rsidRPr="00531BD3">
        <w:rPr>
          <w:rtl/>
        </w:rPr>
        <w:t xml:space="preserve"> </w:t>
      </w:r>
      <w:r w:rsidRPr="00531BD3">
        <w:rPr>
          <w:rFonts w:hint="eastAsia"/>
          <w:rtl/>
        </w:rPr>
        <w:t>ממש</w:t>
      </w:r>
      <w:r w:rsidRPr="00531BD3">
        <w:rPr>
          <w:rFonts w:hint="cs"/>
          <w:rtl/>
        </w:rPr>
        <w:t xml:space="preserve"> חולק כי החלטה על ביטול </w:t>
      </w:r>
      <w:proofErr w:type="spellStart"/>
      <w:r w:rsidRPr="00531BD3">
        <w:rPr>
          <w:rFonts w:hint="cs"/>
          <w:rtl/>
        </w:rPr>
        <w:t>האישומים</w:t>
      </w:r>
      <w:proofErr w:type="spellEnd"/>
      <w:r w:rsidRPr="00531BD3">
        <w:rPr>
          <w:rFonts w:hint="cs"/>
          <w:rtl/>
        </w:rPr>
        <w:t xml:space="preserve"> השני והשלישי לגבי </w:t>
      </w:r>
      <w:proofErr w:type="spellStart"/>
      <w:r w:rsidRPr="00531BD3">
        <w:rPr>
          <w:rFonts w:hint="cs"/>
          <w:rtl/>
        </w:rPr>
        <w:t>אלוביץ</w:t>
      </w:r>
      <w:proofErr w:type="spellEnd"/>
      <w:r w:rsidRPr="00531BD3">
        <w:rPr>
          <w:rFonts w:hint="cs"/>
          <w:rtl/>
        </w:rPr>
        <w:t xml:space="preserve">' ומשיבים 7-5 הינה החלטת ביניים שאין לגביה זכות ערעור, והדרך להשיג עליה היא במסגרת הערעור על פסק הדין הסופי שיינתן. </w:t>
      </w:r>
      <w:r w:rsidRPr="00531BD3">
        <w:rPr>
          <w:rFonts w:hint="cs"/>
          <w:b/>
          <w:rtl/>
        </w:rPr>
        <w:t xml:space="preserve">המערערת אמנם טענה בהקשר זה כי יש לאפשר לה להגיש את הערעור בנסיבות העניין כבר בשלב זה בעניינם של המשיבים כולם, שאלמלא כן ייווצר מצב "לא צודק ולא יעיל באופן קיצוני". אולם אין מדובר בהנמקה שיש בה כדי להביא להרחבת זכות הערעור מעבר לגדרי גבולות הדין. </w:t>
      </w:r>
      <w:r w:rsidRPr="00531BD3">
        <w:rPr>
          <w:rFonts w:hint="cs"/>
          <w:rtl/>
        </w:rPr>
        <w:t xml:space="preserve">טענות כגון אלו בדבר הצדק או היעילות אין </w:t>
      </w:r>
      <w:r w:rsidRPr="00531BD3">
        <w:rPr>
          <w:rFonts w:hint="eastAsia"/>
          <w:rtl/>
        </w:rPr>
        <w:t>בכוחן</w:t>
      </w:r>
      <w:r w:rsidRPr="00531BD3">
        <w:rPr>
          <w:rFonts w:hint="cs"/>
          <w:rtl/>
        </w:rPr>
        <w:t xml:space="preserve"> כדי לייבא לתוך הוראות החוק את אשר אין בו (ראו למשל מקדמת דנא: ע"פ 215/69 </w:t>
      </w:r>
      <w:r w:rsidRPr="00531BD3">
        <w:rPr>
          <w:rFonts w:ascii="Century" w:hAnsi="Century" w:cs="Miriam" w:hint="cs"/>
          <w:b/>
          <w:spacing w:val="0"/>
          <w:sz w:val="22"/>
          <w:szCs w:val="24"/>
          <w:rtl/>
        </w:rPr>
        <w:t>מדינת ישראל נ' שרבני</w:t>
      </w:r>
      <w:r w:rsidRPr="00531BD3">
        <w:rPr>
          <w:rFonts w:hint="cs"/>
          <w:rtl/>
        </w:rPr>
        <w:t xml:space="preserve">, פ"ד </w:t>
      </w:r>
      <w:proofErr w:type="spellStart"/>
      <w:r w:rsidRPr="00531BD3">
        <w:rPr>
          <w:rFonts w:hint="cs"/>
          <w:rtl/>
        </w:rPr>
        <w:t>כג</w:t>
      </w:r>
      <w:proofErr w:type="spellEnd"/>
      <w:r w:rsidRPr="00531BD3">
        <w:rPr>
          <w:rFonts w:hint="cs"/>
          <w:rtl/>
        </w:rPr>
        <w:t xml:space="preserve">(2) 71, 78-77 (1969)). </w:t>
      </w:r>
      <w:r w:rsidRPr="00531BD3">
        <w:rPr>
          <w:rFonts w:hint="cs"/>
          <w:b/>
          <w:rtl/>
        </w:rPr>
        <w:t xml:space="preserve">דומה שהמערערת עצמה איננה מעוניינת בכך שנימוק זה יאפשר סטייה מן הכלל, באופן שיש בו כדי לפתוח את הפתח להגשת ערעורים על החלטות ביניים בהליך פלילי במקרים שונים בהם המערערת מוצאת את עצמה בדרך </w:t>
      </w:r>
      <w:r w:rsidRPr="00531BD3">
        <w:rPr>
          <w:rFonts w:hint="cs"/>
          <w:b/>
          <w:rtl/>
        </w:rPr>
        <w:lastRenderedPageBreak/>
        <w:t xml:space="preserve">כלל כמשיבה להליך ולא כיוזמת אותו (השוו: </w:t>
      </w:r>
      <w:r w:rsidRPr="00531BD3">
        <w:rPr>
          <w:rFonts w:hint="cs"/>
          <w:rtl/>
        </w:rPr>
        <w:t xml:space="preserve">ע"פ 3996/15 </w:t>
      </w:r>
      <w:r w:rsidRPr="00531BD3">
        <w:rPr>
          <w:rFonts w:ascii="Century" w:hAnsi="Century" w:cs="Miriam" w:hint="cs"/>
          <w:b/>
          <w:spacing w:val="0"/>
          <w:sz w:val="22"/>
          <w:szCs w:val="24"/>
          <w:rtl/>
        </w:rPr>
        <w:t>מדינת ישראל נ' פלוני</w:t>
      </w:r>
      <w:r w:rsidRPr="00531BD3">
        <w:rPr>
          <w:rFonts w:hint="cs"/>
          <w:rtl/>
        </w:rPr>
        <w:t>, פסקה 18 (10.11.2015)</w:t>
      </w:r>
      <w:r w:rsidRPr="00531BD3">
        <w:rPr>
          <w:rFonts w:hint="cs"/>
          <w:b/>
          <w:rtl/>
        </w:rPr>
        <w:t xml:space="preserve">). </w:t>
      </w:r>
      <w:r w:rsidRPr="00531BD3">
        <w:rPr>
          <w:rFonts w:hint="cs"/>
          <w:rtl/>
        </w:rPr>
        <w:t>על כגון דא נאמר זה מכבר כי "</w:t>
      </w:r>
      <w:r w:rsidRPr="00531BD3">
        <w:rPr>
          <w:rFonts w:hint="eastAsia"/>
          <w:rtl/>
        </w:rPr>
        <w:t>בית</w:t>
      </w:r>
      <w:r w:rsidRPr="00531BD3">
        <w:rPr>
          <w:rtl/>
        </w:rPr>
        <w:t xml:space="preserve"> </w:t>
      </w:r>
      <w:r w:rsidRPr="00531BD3">
        <w:rPr>
          <w:rFonts w:hint="eastAsia"/>
          <w:rtl/>
        </w:rPr>
        <w:t>המשפט</w:t>
      </w:r>
      <w:r w:rsidRPr="00531BD3">
        <w:rPr>
          <w:rtl/>
        </w:rPr>
        <w:t xml:space="preserve"> </w:t>
      </w:r>
      <w:r w:rsidRPr="00531BD3">
        <w:rPr>
          <w:rFonts w:hint="eastAsia"/>
          <w:rtl/>
        </w:rPr>
        <w:t>מקפיד</w:t>
      </w:r>
      <w:r w:rsidRPr="00531BD3">
        <w:rPr>
          <w:rtl/>
        </w:rPr>
        <w:t xml:space="preserve"> </w:t>
      </w:r>
      <w:r w:rsidRPr="00531BD3">
        <w:rPr>
          <w:rFonts w:hint="eastAsia"/>
          <w:rtl/>
        </w:rPr>
        <w:t>לעמוד</w:t>
      </w:r>
      <w:r w:rsidRPr="00531BD3">
        <w:rPr>
          <w:rtl/>
        </w:rPr>
        <w:t xml:space="preserve"> </w:t>
      </w:r>
      <w:r w:rsidRPr="00531BD3">
        <w:rPr>
          <w:rFonts w:hint="eastAsia"/>
          <w:rtl/>
        </w:rPr>
        <w:t>על</w:t>
      </w:r>
      <w:r w:rsidRPr="00531BD3">
        <w:rPr>
          <w:rtl/>
        </w:rPr>
        <w:t xml:space="preserve"> </w:t>
      </w:r>
      <w:r w:rsidRPr="00531BD3">
        <w:rPr>
          <w:rFonts w:hint="eastAsia"/>
          <w:rtl/>
        </w:rPr>
        <w:t>המשמר</w:t>
      </w:r>
      <w:r w:rsidRPr="00531BD3">
        <w:rPr>
          <w:rtl/>
        </w:rPr>
        <w:t xml:space="preserve"> </w:t>
      </w:r>
      <w:r w:rsidRPr="00531BD3">
        <w:rPr>
          <w:rFonts w:hint="eastAsia"/>
          <w:rtl/>
        </w:rPr>
        <w:t>ואינו</w:t>
      </w:r>
      <w:r w:rsidRPr="00531BD3">
        <w:rPr>
          <w:rtl/>
        </w:rPr>
        <w:t xml:space="preserve"> </w:t>
      </w:r>
      <w:r w:rsidRPr="00531BD3">
        <w:rPr>
          <w:rFonts w:hint="eastAsia"/>
          <w:rtl/>
        </w:rPr>
        <w:t>מאפשר</w:t>
      </w:r>
      <w:r w:rsidRPr="00531BD3">
        <w:rPr>
          <w:rtl/>
        </w:rPr>
        <w:t xml:space="preserve"> </w:t>
      </w:r>
      <w:r w:rsidRPr="00531BD3">
        <w:rPr>
          <w:rFonts w:hint="eastAsia"/>
          <w:rtl/>
        </w:rPr>
        <w:t>הגשת</w:t>
      </w:r>
      <w:r w:rsidRPr="00531BD3">
        <w:rPr>
          <w:rtl/>
        </w:rPr>
        <w:t xml:space="preserve"> </w:t>
      </w:r>
      <w:r w:rsidRPr="00531BD3">
        <w:rPr>
          <w:rFonts w:hint="eastAsia"/>
          <w:rtl/>
        </w:rPr>
        <w:t>הליך</w:t>
      </w:r>
      <w:r w:rsidRPr="00531BD3">
        <w:rPr>
          <w:rtl/>
        </w:rPr>
        <w:t xml:space="preserve"> </w:t>
      </w:r>
      <w:r w:rsidRPr="00531BD3">
        <w:rPr>
          <w:rFonts w:hint="eastAsia"/>
          <w:rtl/>
        </w:rPr>
        <w:t>ערעורי</w:t>
      </w:r>
      <w:r w:rsidRPr="00531BD3">
        <w:rPr>
          <w:rtl/>
        </w:rPr>
        <w:t xml:space="preserve"> </w:t>
      </w:r>
      <w:r w:rsidRPr="00531BD3">
        <w:rPr>
          <w:rFonts w:hint="eastAsia"/>
          <w:rtl/>
        </w:rPr>
        <w:t>גם</w:t>
      </w:r>
      <w:r w:rsidRPr="00531BD3">
        <w:rPr>
          <w:rtl/>
        </w:rPr>
        <w:t xml:space="preserve"> </w:t>
      </w:r>
      <w:r w:rsidRPr="00531BD3">
        <w:rPr>
          <w:rFonts w:hint="eastAsia"/>
          <w:rtl/>
        </w:rPr>
        <w:t>כאשר</w:t>
      </w:r>
      <w:r w:rsidRPr="00531BD3">
        <w:rPr>
          <w:rtl/>
        </w:rPr>
        <w:t xml:space="preserve"> </w:t>
      </w:r>
      <w:r w:rsidRPr="00531BD3">
        <w:rPr>
          <w:rFonts w:hint="eastAsia"/>
          <w:rtl/>
        </w:rPr>
        <w:t>המדינה</w:t>
      </w:r>
      <w:r w:rsidRPr="00531BD3">
        <w:rPr>
          <w:rtl/>
        </w:rPr>
        <w:t xml:space="preserve"> </w:t>
      </w:r>
      <w:r w:rsidRPr="00531BD3">
        <w:rPr>
          <w:rFonts w:hint="eastAsia"/>
          <w:rtl/>
        </w:rPr>
        <w:t>היא</w:t>
      </w:r>
      <w:r w:rsidRPr="00531BD3">
        <w:rPr>
          <w:rtl/>
        </w:rPr>
        <w:t xml:space="preserve"> </w:t>
      </w:r>
      <w:r w:rsidRPr="00531BD3">
        <w:rPr>
          <w:rFonts w:hint="eastAsia"/>
          <w:rtl/>
        </w:rPr>
        <w:t>זו</w:t>
      </w:r>
      <w:r w:rsidRPr="00531BD3">
        <w:rPr>
          <w:rtl/>
        </w:rPr>
        <w:t xml:space="preserve"> </w:t>
      </w:r>
      <w:r w:rsidRPr="00531BD3">
        <w:rPr>
          <w:rFonts w:hint="eastAsia"/>
          <w:rtl/>
        </w:rPr>
        <w:t>המבקשת</w:t>
      </w:r>
      <w:r w:rsidRPr="00531BD3">
        <w:rPr>
          <w:rtl/>
        </w:rPr>
        <w:t xml:space="preserve"> </w:t>
      </w:r>
      <w:r w:rsidRPr="00531BD3">
        <w:rPr>
          <w:rFonts w:hint="cs"/>
          <w:rtl/>
        </w:rPr>
        <w:t>'</w:t>
      </w:r>
      <w:r w:rsidRPr="00531BD3">
        <w:rPr>
          <w:rFonts w:hint="eastAsia"/>
          <w:rtl/>
        </w:rPr>
        <w:t>לפרוץ</w:t>
      </w:r>
      <w:r w:rsidRPr="00531BD3">
        <w:rPr>
          <w:rtl/>
        </w:rPr>
        <w:t xml:space="preserve"> </w:t>
      </w:r>
      <w:r w:rsidRPr="00531BD3">
        <w:rPr>
          <w:rFonts w:hint="eastAsia"/>
          <w:rtl/>
        </w:rPr>
        <w:t>את</w:t>
      </w:r>
      <w:r w:rsidRPr="00531BD3">
        <w:rPr>
          <w:rtl/>
        </w:rPr>
        <w:t xml:space="preserve"> </w:t>
      </w:r>
      <w:r w:rsidRPr="00531BD3">
        <w:rPr>
          <w:rFonts w:hint="eastAsia"/>
          <w:rtl/>
        </w:rPr>
        <w:t>הדלת</w:t>
      </w:r>
      <w:r w:rsidRPr="00531BD3">
        <w:rPr>
          <w:rFonts w:hint="cs"/>
          <w:rtl/>
        </w:rPr>
        <w:t>'</w:t>
      </w:r>
      <w:r w:rsidRPr="00531BD3">
        <w:rPr>
          <w:rtl/>
        </w:rPr>
        <w:t xml:space="preserve"> </w:t>
      </w:r>
      <w:r w:rsidRPr="00531BD3">
        <w:rPr>
          <w:rFonts w:hint="eastAsia"/>
          <w:rtl/>
        </w:rPr>
        <w:t>ולהגיש</w:t>
      </w:r>
      <w:r w:rsidRPr="00531BD3">
        <w:rPr>
          <w:rtl/>
        </w:rPr>
        <w:t xml:space="preserve"> </w:t>
      </w:r>
      <w:r w:rsidRPr="00531BD3">
        <w:rPr>
          <w:rFonts w:hint="eastAsia"/>
          <w:rtl/>
        </w:rPr>
        <w:t>ערעורים</w:t>
      </w:r>
      <w:r w:rsidRPr="00531BD3">
        <w:rPr>
          <w:rtl/>
        </w:rPr>
        <w:t xml:space="preserve"> </w:t>
      </w:r>
      <w:r w:rsidRPr="00531BD3">
        <w:rPr>
          <w:rFonts w:hint="eastAsia"/>
          <w:rtl/>
        </w:rPr>
        <w:t>בלא</w:t>
      </w:r>
      <w:r w:rsidRPr="00531BD3">
        <w:rPr>
          <w:rtl/>
        </w:rPr>
        <w:t xml:space="preserve"> </w:t>
      </w:r>
      <w:r w:rsidRPr="00531BD3">
        <w:rPr>
          <w:rFonts w:hint="eastAsia"/>
          <w:rtl/>
        </w:rPr>
        <w:t>שקיימת</w:t>
      </w:r>
      <w:r w:rsidRPr="00531BD3">
        <w:rPr>
          <w:rtl/>
        </w:rPr>
        <w:t xml:space="preserve"> </w:t>
      </w:r>
      <w:r w:rsidRPr="00531BD3">
        <w:rPr>
          <w:rFonts w:hint="eastAsia"/>
          <w:rtl/>
        </w:rPr>
        <w:t>הוראת</w:t>
      </w:r>
      <w:r w:rsidRPr="00531BD3">
        <w:rPr>
          <w:rtl/>
        </w:rPr>
        <w:t xml:space="preserve"> </w:t>
      </w:r>
      <w:r w:rsidRPr="00531BD3">
        <w:rPr>
          <w:rFonts w:hint="eastAsia"/>
          <w:rtl/>
        </w:rPr>
        <w:t>חוק</w:t>
      </w:r>
      <w:r w:rsidRPr="00531BD3">
        <w:rPr>
          <w:rtl/>
        </w:rPr>
        <w:t xml:space="preserve"> </w:t>
      </w:r>
      <w:r w:rsidRPr="00531BD3">
        <w:rPr>
          <w:rFonts w:hint="eastAsia"/>
          <w:rtl/>
        </w:rPr>
        <w:t>המאפשרת</w:t>
      </w:r>
      <w:r w:rsidRPr="00531BD3">
        <w:rPr>
          <w:rtl/>
        </w:rPr>
        <w:t xml:space="preserve"> </w:t>
      </w:r>
      <w:r w:rsidRPr="00531BD3">
        <w:rPr>
          <w:rFonts w:hint="eastAsia"/>
          <w:rtl/>
        </w:rPr>
        <w:t>זאת</w:t>
      </w:r>
      <w:r w:rsidRPr="00531BD3">
        <w:rPr>
          <w:rFonts w:hint="cs"/>
          <w:rtl/>
        </w:rPr>
        <w:t>"</w:t>
      </w:r>
      <w:r w:rsidRPr="00531BD3">
        <w:rPr>
          <w:rtl/>
        </w:rPr>
        <w:t xml:space="preserve"> </w:t>
      </w:r>
      <w:r w:rsidRPr="00531BD3">
        <w:rPr>
          <w:rFonts w:hint="cs"/>
          <w:rtl/>
        </w:rPr>
        <w:t>(</w:t>
      </w:r>
      <w:proofErr w:type="spellStart"/>
      <w:r w:rsidRPr="00531BD3">
        <w:rPr>
          <w:rFonts w:hint="eastAsia"/>
          <w:rtl/>
        </w:rPr>
        <w:t>בש</w:t>
      </w:r>
      <w:r w:rsidRPr="00531BD3">
        <w:rPr>
          <w:rFonts w:hint="cs"/>
          <w:rtl/>
        </w:rPr>
        <w:t>"</w:t>
      </w:r>
      <w:r w:rsidRPr="00531BD3">
        <w:rPr>
          <w:rFonts w:hint="eastAsia"/>
          <w:rtl/>
        </w:rPr>
        <w:t>פ</w:t>
      </w:r>
      <w:proofErr w:type="spellEnd"/>
      <w:r w:rsidRPr="00531BD3">
        <w:rPr>
          <w:rtl/>
        </w:rPr>
        <w:t xml:space="preserve"> 10220/16</w:t>
      </w:r>
      <w:r w:rsidRPr="00531BD3">
        <w:rPr>
          <w:rFonts w:hint="cs"/>
          <w:rtl/>
        </w:rPr>
        <w:t xml:space="preserve"> </w:t>
      </w:r>
      <w:r w:rsidRPr="00531BD3">
        <w:rPr>
          <w:rFonts w:ascii="Century" w:hAnsi="Century" w:cs="Miriam" w:hint="eastAsia"/>
          <w:b/>
          <w:spacing w:val="0"/>
          <w:sz w:val="22"/>
          <w:szCs w:val="24"/>
          <w:rtl/>
        </w:rPr>
        <w:t>ביטון</w:t>
      </w:r>
      <w:r w:rsidRPr="00531BD3">
        <w:rPr>
          <w:rFonts w:ascii="Century" w:hAnsi="Century" w:cs="Miriam"/>
          <w:b/>
          <w:spacing w:val="0"/>
          <w:sz w:val="22"/>
          <w:szCs w:val="24"/>
          <w:rtl/>
        </w:rPr>
        <w:t xml:space="preserve"> </w:t>
      </w:r>
      <w:r w:rsidRPr="00531BD3">
        <w:rPr>
          <w:rFonts w:ascii="Century" w:hAnsi="Century" w:cs="Miriam" w:hint="eastAsia"/>
          <w:b/>
          <w:spacing w:val="0"/>
          <w:sz w:val="22"/>
          <w:szCs w:val="24"/>
          <w:rtl/>
        </w:rPr>
        <w:t>נ</w:t>
      </w:r>
      <w:r w:rsidRPr="00531BD3">
        <w:rPr>
          <w:rFonts w:ascii="Century" w:hAnsi="Century" w:cs="Miriam"/>
          <w:b/>
          <w:spacing w:val="0"/>
          <w:sz w:val="22"/>
          <w:szCs w:val="24"/>
          <w:rtl/>
        </w:rPr>
        <w:t xml:space="preserve">' </w:t>
      </w:r>
      <w:r w:rsidRPr="00531BD3">
        <w:rPr>
          <w:rFonts w:ascii="Century" w:hAnsi="Century" w:cs="Miriam" w:hint="eastAsia"/>
          <w:b/>
          <w:spacing w:val="0"/>
          <w:sz w:val="22"/>
          <w:szCs w:val="24"/>
          <w:rtl/>
        </w:rPr>
        <w:t>מדינת</w:t>
      </w:r>
      <w:r w:rsidRPr="00531BD3">
        <w:rPr>
          <w:rFonts w:ascii="Century" w:hAnsi="Century" w:cs="Miriam"/>
          <w:b/>
          <w:spacing w:val="0"/>
          <w:sz w:val="22"/>
          <w:szCs w:val="24"/>
          <w:rtl/>
        </w:rPr>
        <w:t xml:space="preserve"> </w:t>
      </w:r>
      <w:r w:rsidRPr="00531BD3">
        <w:rPr>
          <w:rFonts w:ascii="Century" w:hAnsi="Century" w:cs="Miriam" w:hint="eastAsia"/>
          <w:b/>
          <w:spacing w:val="0"/>
          <w:sz w:val="22"/>
          <w:szCs w:val="24"/>
          <w:rtl/>
        </w:rPr>
        <w:t>ישראל</w:t>
      </w:r>
      <w:r w:rsidRPr="00531BD3">
        <w:rPr>
          <w:rFonts w:hint="cs"/>
          <w:rtl/>
        </w:rPr>
        <w:t>, פסקה 5 (2.1.2017)). דין אחד למדינה ודין אחד לכל בעל דין אחר.</w:t>
      </w:r>
    </w:p>
    <w:p w:rsidR="008A4DD4" w:rsidRPr="00531BD3" w:rsidRDefault="008A4DD4" w:rsidP="008A4DD4">
      <w:pPr>
        <w:pStyle w:val="Ruller4"/>
        <w:numPr>
          <w:ilvl w:val="0"/>
          <w:numId w:val="0"/>
        </w:numPr>
      </w:pPr>
    </w:p>
    <w:p w:rsidR="008A4DD4" w:rsidRPr="00531BD3" w:rsidRDefault="008A4DD4" w:rsidP="008A4DD4">
      <w:pPr>
        <w:pStyle w:val="Ruller4"/>
        <w:rPr>
          <w:rtl/>
        </w:rPr>
      </w:pPr>
      <w:r w:rsidRPr="00531BD3">
        <w:rPr>
          <w:rFonts w:hint="cs"/>
          <w:rtl/>
        </w:rPr>
        <w:t xml:space="preserve">אוסיף בקשר לכך, כי תמהתי מאוד על דבריה של באת-כוח המערערת בדיון לפנינו, אשר ציינה כי המערערת התלבטה אם להגיש ערעור כפי שעשתה בפועל או לפנות בעניין זה בעתירה לבית משפט זה בשבתו כבית משפט גבוה לצדק. כידוע, עתירה מעין זו איננה יכולה לשמש "מסלול עוקף" לתקיפת החלטת ביניים בהליך פלילי, ולוּ הייתה מוגשת עתירה כזו </w:t>
      </w:r>
      <w:r w:rsidRPr="00531BD3">
        <w:rPr>
          <w:rtl/>
        </w:rPr>
        <w:t>–</w:t>
      </w:r>
      <w:r w:rsidRPr="00531BD3">
        <w:rPr>
          <w:rFonts w:hint="cs"/>
          <w:rtl/>
        </w:rPr>
        <w:t xml:space="preserve"> דינה היה להידחות על הסף (ראו למשל, מיני רבים: </w:t>
      </w:r>
      <w:r w:rsidRPr="00531BD3">
        <w:rPr>
          <w:rFonts w:hint="eastAsia"/>
          <w:rtl/>
        </w:rPr>
        <w:t>בג</w:t>
      </w:r>
      <w:r w:rsidRPr="00531BD3">
        <w:rPr>
          <w:rFonts w:hint="cs"/>
          <w:rtl/>
        </w:rPr>
        <w:t>"</w:t>
      </w:r>
      <w:r w:rsidRPr="00531BD3">
        <w:rPr>
          <w:rFonts w:hint="eastAsia"/>
          <w:rtl/>
        </w:rPr>
        <w:t>ץ</w:t>
      </w:r>
      <w:r w:rsidRPr="00531BD3">
        <w:rPr>
          <w:rtl/>
        </w:rPr>
        <w:t xml:space="preserve"> 4383/19 </w:t>
      </w:r>
      <w:r w:rsidRPr="00531BD3">
        <w:rPr>
          <w:rFonts w:ascii="Century" w:hAnsi="Century" w:cs="Miriam" w:hint="eastAsia"/>
          <w:b/>
          <w:spacing w:val="0"/>
          <w:sz w:val="22"/>
          <w:szCs w:val="24"/>
          <w:rtl/>
        </w:rPr>
        <w:t>פלוני</w:t>
      </w:r>
      <w:r w:rsidRPr="00531BD3">
        <w:rPr>
          <w:rFonts w:ascii="Century" w:hAnsi="Century" w:cs="Miriam"/>
          <w:b/>
          <w:spacing w:val="0"/>
          <w:sz w:val="22"/>
          <w:szCs w:val="24"/>
          <w:rtl/>
        </w:rPr>
        <w:t xml:space="preserve"> </w:t>
      </w:r>
      <w:r w:rsidRPr="00531BD3">
        <w:rPr>
          <w:rFonts w:ascii="Century" w:hAnsi="Century" w:cs="Miriam" w:hint="eastAsia"/>
          <w:b/>
          <w:spacing w:val="0"/>
          <w:sz w:val="22"/>
          <w:szCs w:val="24"/>
          <w:rtl/>
        </w:rPr>
        <w:t>נ</w:t>
      </w:r>
      <w:r w:rsidRPr="00531BD3">
        <w:rPr>
          <w:rFonts w:ascii="Century" w:hAnsi="Century" w:cs="Miriam"/>
          <w:b/>
          <w:spacing w:val="0"/>
          <w:sz w:val="22"/>
          <w:szCs w:val="24"/>
          <w:rtl/>
        </w:rPr>
        <w:t xml:space="preserve">' </w:t>
      </w:r>
      <w:r w:rsidRPr="00531BD3">
        <w:rPr>
          <w:rFonts w:ascii="Century" w:hAnsi="Century" w:cs="Miriam" w:hint="eastAsia"/>
          <w:b/>
          <w:spacing w:val="0"/>
          <w:sz w:val="22"/>
          <w:szCs w:val="24"/>
          <w:rtl/>
        </w:rPr>
        <w:t>מדינת</w:t>
      </w:r>
      <w:r w:rsidRPr="00531BD3">
        <w:rPr>
          <w:rFonts w:ascii="Century" w:hAnsi="Century" w:cs="Miriam"/>
          <w:b/>
          <w:spacing w:val="0"/>
          <w:sz w:val="22"/>
          <w:szCs w:val="24"/>
          <w:rtl/>
        </w:rPr>
        <w:t xml:space="preserve"> </w:t>
      </w:r>
      <w:r w:rsidRPr="00531BD3">
        <w:rPr>
          <w:rFonts w:ascii="Century" w:hAnsi="Century" w:cs="Miriam" w:hint="eastAsia"/>
          <w:b/>
          <w:spacing w:val="0"/>
          <w:sz w:val="22"/>
          <w:szCs w:val="24"/>
          <w:rtl/>
        </w:rPr>
        <w:t>ישראל</w:t>
      </w:r>
      <w:r w:rsidRPr="00531BD3">
        <w:rPr>
          <w:rFonts w:hint="cs"/>
          <w:b/>
          <w:rtl/>
        </w:rPr>
        <w:t xml:space="preserve">, פסקה 4 (6.8.2019); </w:t>
      </w:r>
      <w:r w:rsidRPr="00531BD3">
        <w:rPr>
          <w:rFonts w:hint="cs"/>
          <w:rtl/>
        </w:rPr>
        <w:t xml:space="preserve">בג"ץ </w:t>
      </w:r>
      <w:r w:rsidRPr="00531BD3">
        <w:rPr>
          <w:rtl/>
        </w:rPr>
        <w:t>7210/20</w:t>
      </w:r>
      <w:r w:rsidRPr="00531BD3">
        <w:rPr>
          <w:rFonts w:hint="cs"/>
          <w:rtl/>
        </w:rPr>
        <w:t xml:space="preserve"> </w:t>
      </w:r>
      <w:proofErr w:type="spellStart"/>
      <w:r w:rsidRPr="00531BD3">
        <w:rPr>
          <w:rFonts w:ascii="Century" w:hAnsi="Century" w:cs="Miriam" w:hint="eastAsia"/>
          <w:b/>
          <w:spacing w:val="0"/>
          <w:sz w:val="22"/>
          <w:szCs w:val="24"/>
          <w:rtl/>
        </w:rPr>
        <w:t>טאייב</w:t>
      </w:r>
      <w:proofErr w:type="spellEnd"/>
      <w:r w:rsidRPr="00531BD3">
        <w:rPr>
          <w:rFonts w:ascii="Century" w:hAnsi="Century" w:cs="Miriam"/>
          <w:b/>
          <w:spacing w:val="0"/>
          <w:sz w:val="22"/>
          <w:szCs w:val="24"/>
          <w:rtl/>
        </w:rPr>
        <w:t xml:space="preserve"> </w:t>
      </w:r>
      <w:r w:rsidRPr="00531BD3">
        <w:rPr>
          <w:rFonts w:ascii="Century" w:hAnsi="Century" w:cs="Miriam" w:hint="eastAsia"/>
          <w:b/>
          <w:spacing w:val="0"/>
          <w:sz w:val="22"/>
          <w:szCs w:val="24"/>
          <w:rtl/>
        </w:rPr>
        <w:t>נ</w:t>
      </w:r>
      <w:r w:rsidRPr="00531BD3">
        <w:rPr>
          <w:rFonts w:ascii="Century" w:hAnsi="Century" w:cs="Miriam"/>
          <w:b/>
          <w:spacing w:val="0"/>
          <w:sz w:val="22"/>
          <w:szCs w:val="24"/>
          <w:rtl/>
        </w:rPr>
        <w:t xml:space="preserve">' </w:t>
      </w:r>
      <w:r w:rsidRPr="00531BD3">
        <w:rPr>
          <w:rFonts w:ascii="Century" w:hAnsi="Century" w:cs="Miriam" w:hint="eastAsia"/>
          <w:b/>
          <w:spacing w:val="0"/>
          <w:sz w:val="22"/>
          <w:szCs w:val="24"/>
          <w:rtl/>
        </w:rPr>
        <w:t>בית</w:t>
      </w:r>
      <w:r w:rsidRPr="00531BD3">
        <w:rPr>
          <w:rFonts w:ascii="Century" w:hAnsi="Century" w:cs="Miriam"/>
          <w:b/>
          <w:spacing w:val="0"/>
          <w:sz w:val="22"/>
          <w:szCs w:val="24"/>
          <w:rtl/>
        </w:rPr>
        <w:t xml:space="preserve"> </w:t>
      </w:r>
      <w:r w:rsidRPr="00531BD3">
        <w:rPr>
          <w:rFonts w:ascii="Century" w:hAnsi="Century" w:cs="Miriam" w:hint="eastAsia"/>
          <w:b/>
          <w:spacing w:val="0"/>
          <w:sz w:val="22"/>
          <w:szCs w:val="24"/>
          <w:rtl/>
        </w:rPr>
        <w:t>משפט</w:t>
      </w:r>
      <w:r w:rsidRPr="00531BD3">
        <w:rPr>
          <w:rFonts w:ascii="Century" w:hAnsi="Century" w:cs="Miriam"/>
          <w:b/>
          <w:spacing w:val="0"/>
          <w:sz w:val="22"/>
          <w:szCs w:val="24"/>
          <w:rtl/>
        </w:rPr>
        <w:t xml:space="preserve"> </w:t>
      </w:r>
      <w:r w:rsidRPr="00531BD3">
        <w:rPr>
          <w:rFonts w:ascii="Century" w:hAnsi="Century" w:cs="Miriam" w:hint="eastAsia"/>
          <w:b/>
          <w:spacing w:val="0"/>
          <w:sz w:val="22"/>
          <w:szCs w:val="24"/>
          <w:rtl/>
        </w:rPr>
        <w:t>השלום</w:t>
      </w:r>
      <w:r w:rsidRPr="00531BD3">
        <w:rPr>
          <w:rFonts w:ascii="Century" w:hAnsi="Century" w:cs="Miriam"/>
          <w:b/>
          <w:spacing w:val="0"/>
          <w:sz w:val="22"/>
          <w:szCs w:val="24"/>
          <w:rtl/>
        </w:rPr>
        <w:t xml:space="preserve"> </w:t>
      </w:r>
      <w:r w:rsidRPr="00531BD3">
        <w:rPr>
          <w:rFonts w:ascii="Century" w:hAnsi="Century" w:cs="Miriam" w:hint="eastAsia"/>
          <w:b/>
          <w:spacing w:val="0"/>
          <w:sz w:val="22"/>
          <w:szCs w:val="24"/>
          <w:rtl/>
        </w:rPr>
        <w:t>קריות</w:t>
      </w:r>
      <w:r w:rsidRPr="00531BD3">
        <w:rPr>
          <w:rFonts w:hint="cs"/>
          <w:rtl/>
        </w:rPr>
        <w:t xml:space="preserve">, פסקה 6 (28.10.2020); </w:t>
      </w:r>
      <w:r w:rsidRPr="00531BD3">
        <w:rPr>
          <w:rFonts w:hint="eastAsia"/>
          <w:rtl/>
        </w:rPr>
        <w:t>בג</w:t>
      </w:r>
      <w:r w:rsidRPr="00531BD3">
        <w:rPr>
          <w:rFonts w:hint="cs"/>
          <w:rtl/>
        </w:rPr>
        <w:t>"</w:t>
      </w:r>
      <w:r w:rsidRPr="00531BD3">
        <w:rPr>
          <w:rFonts w:hint="eastAsia"/>
          <w:rtl/>
        </w:rPr>
        <w:t>ץ</w:t>
      </w:r>
      <w:r w:rsidRPr="00531BD3">
        <w:rPr>
          <w:rtl/>
        </w:rPr>
        <w:t xml:space="preserve"> 4739/21</w:t>
      </w:r>
      <w:r w:rsidRPr="00531BD3">
        <w:rPr>
          <w:rFonts w:hint="cs"/>
          <w:rtl/>
        </w:rPr>
        <w:t xml:space="preserve"> </w:t>
      </w:r>
      <w:proofErr w:type="spellStart"/>
      <w:r w:rsidRPr="00531BD3">
        <w:rPr>
          <w:rFonts w:ascii="Century" w:hAnsi="Century" w:cs="Miriam" w:hint="eastAsia"/>
          <w:spacing w:val="0"/>
          <w:sz w:val="22"/>
          <w:szCs w:val="24"/>
          <w:rtl/>
        </w:rPr>
        <w:t>קרוואני</w:t>
      </w:r>
      <w:proofErr w:type="spellEnd"/>
      <w:r w:rsidRPr="00531BD3">
        <w:rPr>
          <w:rFonts w:ascii="Century" w:hAnsi="Century" w:cs="Miriam"/>
          <w:spacing w:val="0"/>
          <w:sz w:val="22"/>
          <w:szCs w:val="24"/>
          <w:rtl/>
        </w:rPr>
        <w:t xml:space="preserve"> </w:t>
      </w:r>
      <w:r w:rsidRPr="00531BD3">
        <w:rPr>
          <w:rFonts w:ascii="Century" w:hAnsi="Century" w:cs="Miriam" w:hint="eastAsia"/>
          <w:spacing w:val="0"/>
          <w:sz w:val="22"/>
          <w:szCs w:val="24"/>
          <w:rtl/>
        </w:rPr>
        <w:t>נ</w:t>
      </w:r>
      <w:r w:rsidRPr="00531BD3">
        <w:rPr>
          <w:rFonts w:ascii="Century" w:hAnsi="Century" w:cs="Miriam"/>
          <w:spacing w:val="0"/>
          <w:sz w:val="22"/>
          <w:szCs w:val="24"/>
          <w:rtl/>
        </w:rPr>
        <w:t xml:space="preserve">' </w:t>
      </w:r>
      <w:r w:rsidRPr="00531BD3">
        <w:rPr>
          <w:rFonts w:ascii="Century" w:hAnsi="Century" w:cs="Miriam" w:hint="eastAsia"/>
          <w:spacing w:val="0"/>
          <w:sz w:val="22"/>
          <w:szCs w:val="24"/>
          <w:rtl/>
        </w:rPr>
        <w:t>היועץ</w:t>
      </w:r>
      <w:r w:rsidRPr="00531BD3">
        <w:rPr>
          <w:rFonts w:ascii="Century" w:hAnsi="Century" w:cs="Miriam"/>
          <w:spacing w:val="0"/>
          <w:sz w:val="22"/>
          <w:szCs w:val="24"/>
          <w:rtl/>
        </w:rPr>
        <w:t xml:space="preserve"> </w:t>
      </w:r>
      <w:r w:rsidRPr="00531BD3">
        <w:rPr>
          <w:rFonts w:ascii="Century" w:hAnsi="Century" w:cs="Miriam" w:hint="eastAsia"/>
          <w:spacing w:val="0"/>
          <w:sz w:val="22"/>
          <w:szCs w:val="24"/>
          <w:rtl/>
        </w:rPr>
        <w:t>המשפטי</w:t>
      </w:r>
      <w:r w:rsidRPr="00531BD3">
        <w:rPr>
          <w:rFonts w:ascii="Century" w:hAnsi="Century" w:cs="Miriam"/>
          <w:spacing w:val="0"/>
          <w:sz w:val="22"/>
          <w:szCs w:val="24"/>
          <w:rtl/>
        </w:rPr>
        <w:t xml:space="preserve"> </w:t>
      </w:r>
      <w:r w:rsidRPr="00531BD3">
        <w:rPr>
          <w:rFonts w:ascii="Century" w:hAnsi="Century" w:cs="Miriam" w:hint="eastAsia"/>
          <w:spacing w:val="0"/>
          <w:sz w:val="22"/>
          <w:szCs w:val="24"/>
          <w:rtl/>
        </w:rPr>
        <w:t>לממשלה</w:t>
      </w:r>
      <w:r w:rsidRPr="00531BD3">
        <w:rPr>
          <w:rFonts w:hint="cs"/>
          <w:rtl/>
        </w:rPr>
        <w:t xml:space="preserve">, פסקה 6 (8.7.2021); בג"ץ </w:t>
      </w:r>
      <w:r w:rsidRPr="00531BD3">
        <w:rPr>
          <w:rtl/>
        </w:rPr>
        <w:t>481/23</w:t>
      </w:r>
      <w:r w:rsidRPr="00531BD3">
        <w:rPr>
          <w:rFonts w:hint="cs"/>
          <w:rtl/>
        </w:rPr>
        <w:t xml:space="preserve"> </w:t>
      </w:r>
      <w:r w:rsidRPr="00531BD3">
        <w:rPr>
          <w:rFonts w:ascii="Century" w:hAnsi="Century" w:cs="Miriam" w:hint="eastAsia"/>
          <w:b/>
          <w:spacing w:val="0"/>
          <w:sz w:val="22"/>
          <w:szCs w:val="24"/>
          <w:rtl/>
        </w:rPr>
        <w:t>סלומון</w:t>
      </w:r>
      <w:r w:rsidRPr="00531BD3">
        <w:rPr>
          <w:rFonts w:ascii="Century" w:hAnsi="Century" w:cs="Miriam"/>
          <w:b/>
          <w:spacing w:val="0"/>
          <w:sz w:val="22"/>
          <w:szCs w:val="24"/>
          <w:rtl/>
        </w:rPr>
        <w:t xml:space="preserve"> </w:t>
      </w:r>
      <w:r w:rsidRPr="00531BD3">
        <w:rPr>
          <w:rFonts w:ascii="Century" w:hAnsi="Century" w:cs="Miriam" w:hint="eastAsia"/>
          <w:b/>
          <w:spacing w:val="0"/>
          <w:sz w:val="22"/>
          <w:szCs w:val="24"/>
          <w:rtl/>
        </w:rPr>
        <w:t>נ</w:t>
      </w:r>
      <w:r w:rsidRPr="00531BD3">
        <w:rPr>
          <w:rFonts w:ascii="Century" w:hAnsi="Century" w:cs="Miriam"/>
          <w:b/>
          <w:spacing w:val="0"/>
          <w:sz w:val="22"/>
          <w:szCs w:val="24"/>
          <w:rtl/>
        </w:rPr>
        <w:t xml:space="preserve">' </w:t>
      </w:r>
      <w:r w:rsidRPr="00531BD3">
        <w:rPr>
          <w:rFonts w:ascii="Century" w:hAnsi="Century" w:cs="Miriam" w:hint="eastAsia"/>
          <w:b/>
          <w:spacing w:val="0"/>
          <w:sz w:val="22"/>
          <w:szCs w:val="24"/>
          <w:rtl/>
        </w:rPr>
        <w:t>בית</w:t>
      </w:r>
      <w:r w:rsidRPr="00531BD3">
        <w:rPr>
          <w:rFonts w:ascii="Century" w:hAnsi="Century" w:cs="Miriam"/>
          <w:b/>
          <w:spacing w:val="0"/>
          <w:sz w:val="22"/>
          <w:szCs w:val="24"/>
          <w:rtl/>
        </w:rPr>
        <w:t xml:space="preserve"> </w:t>
      </w:r>
      <w:r w:rsidRPr="00531BD3">
        <w:rPr>
          <w:rFonts w:ascii="Century" w:hAnsi="Century" w:cs="Miriam" w:hint="eastAsia"/>
          <w:b/>
          <w:spacing w:val="0"/>
          <w:sz w:val="22"/>
          <w:szCs w:val="24"/>
          <w:rtl/>
        </w:rPr>
        <w:t>המשפט</w:t>
      </w:r>
      <w:r w:rsidRPr="00531BD3">
        <w:rPr>
          <w:rFonts w:ascii="Century" w:hAnsi="Century" w:cs="Miriam"/>
          <w:b/>
          <w:spacing w:val="0"/>
          <w:sz w:val="22"/>
          <w:szCs w:val="24"/>
          <w:rtl/>
        </w:rPr>
        <w:t xml:space="preserve"> </w:t>
      </w:r>
      <w:r w:rsidRPr="00531BD3">
        <w:rPr>
          <w:rFonts w:ascii="Century" w:hAnsi="Century" w:cs="Miriam" w:hint="eastAsia"/>
          <w:b/>
          <w:spacing w:val="0"/>
          <w:sz w:val="22"/>
          <w:szCs w:val="24"/>
          <w:rtl/>
        </w:rPr>
        <w:t>לעניינים</w:t>
      </w:r>
      <w:r w:rsidRPr="00531BD3">
        <w:rPr>
          <w:rFonts w:ascii="Century" w:hAnsi="Century" w:cs="Miriam"/>
          <w:b/>
          <w:spacing w:val="0"/>
          <w:sz w:val="22"/>
          <w:szCs w:val="24"/>
          <w:rtl/>
        </w:rPr>
        <w:t xml:space="preserve"> </w:t>
      </w:r>
      <w:r w:rsidRPr="00531BD3">
        <w:rPr>
          <w:rFonts w:ascii="Century" w:hAnsi="Century" w:cs="Miriam" w:hint="eastAsia"/>
          <w:b/>
          <w:spacing w:val="0"/>
          <w:sz w:val="22"/>
          <w:szCs w:val="24"/>
          <w:rtl/>
        </w:rPr>
        <w:t>מקומיים</w:t>
      </w:r>
      <w:r w:rsidRPr="00531BD3">
        <w:rPr>
          <w:rFonts w:ascii="Century" w:hAnsi="Century" w:cs="Miriam"/>
          <w:b/>
          <w:spacing w:val="0"/>
          <w:sz w:val="22"/>
          <w:szCs w:val="24"/>
          <w:rtl/>
        </w:rPr>
        <w:t xml:space="preserve">, </w:t>
      </w:r>
      <w:r w:rsidRPr="00531BD3">
        <w:rPr>
          <w:rFonts w:ascii="Century" w:hAnsi="Century" w:cs="Miriam" w:hint="eastAsia"/>
          <w:b/>
          <w:spacing w:val="0"/>
          <w:sz w:val="22"/>
          <w:szCs w:val="24"/>
          <w:rtl/>
        </w:rPr>
        <w:t>תל</w:t>
      </w:r>
      <w:r w:rsidRPr="00531BD3">
        <w:rPr>
          <w:rFonts w:ascii="Century" w:hAnsi="Century" w:cs="Miriam"/>
          <w:b/>
          <w:spacing w:val="0"/>
          <w:sz w:val="22"/>
          <w:szCs w:val="24"/>
          <w:rtl/>
        </w:rPr>
        <w:t xml:space="preserve"> </w:t>
      </w:r>
      <w:r w:rsidRPr="00531BD3">
        <w:rPr>
          <w:rFonts w:ascii="Century" w:hAnsi="Century" w:cs="Miriam" w:hint="eastAsia"/>
          <w:b/>
          <w:spacing w:val="0"/>
          <w:sz w:val="22"/>
          <w:szCs w:val="24"/>
          <w:rtl/>
        </w:rPr>
        <w:t>אביב</w:t>
      </w:r>
      <w:r w:rsidRPr="00531BD3">
        <w:rPr>
          <w:rFonts w:ascii="Century" w:hAnsi="Century" w:cs="Miriam"/>
          <w:b/>
          <w:spacing w:val="0"/>
          <w:sz w:val="22"/>
          <w:szCs w:val="24"/>
          <w:rtl/>
        </w:rPr>
        <w:t>-</w:t>
      </w:r>
      <w:r w:rsidRPr="00531BD3">
        <w:rPr>
          <w:rFonts w:ascii="Century" w:hAnsi="Century" w:cs="Miriam" w:hint="eastAsia"/>
          <w:b/>
          <w:spacing w:val="0"/>
          <w:sz w:val="22"/>
          <w:szCs w:val="24"/>
          <w:rtl/>
        </w:rPr>
        <w:t>יפו</w:t>
      </w:r>
      <w:r w:rsidRPr="00531BD3">
        <w:rPr>
          <w:rFonts w:hint="cs"/>
          <w:rtl/>
        </w:rPr>
        <w:t>, פסקה 8 (30.1.2023)</w:t>
      </w:r>
      <w:r w:rsidRPr="00531BD3">
        <w:rPr>
          <w:rFonts w:hint="cs"/>
          <w:b/>
          <w:rtl/>
        </w:rPr>
        <w:t xml:space="preserve">). אין בפי המערערת טענות להתקיימותן של עילות חריגות ונדירות המצדיקות התערבות של בית המשפט הגבוה לצדק </w:t>
      </w:r>
      <w:proofErr w:type="spellStart"/>
      <w:r w:rsidRPr="00531BD3">
        <w:rPr>
          <w:rFonts w:hint="cs"/>
          <w:b/>
          <w:rtl/>
        </w:rPr>
        <w:t>בכגון</w:t>
      </w:r>
      <w:proofErr w:type="spellEnd"/>
      <w:r w:rsidRPr="00531BD3">
        <w:rPr>
          <w:rFonts w:hint="cs"/>
          <w:b/>
          <w:rtl/>
        </w:rPr>
        <w:t xml:space="preserve"> דא, כגון פגם בסמכות היורד לשורשו של עניין, תופעה קיצונית של שרירות או טענה לנזק בלתי הפיך שלא נתן לתקנו במסגרת ערעור על פסק הדין.</w:t>
      </w:r>
      <w:r w:rsidRPr="00531BD3">
        <w:rPr>
          <w:rFonts w:hint="cs"/>
          <w:rtl/>
        </w:rPr>
        <w:t xml:space="preserve"> ולא בכדי, שכן מקרה זה אינו בא כלל בגדר מקרים אלה. ועל כן, ה"התלבטות" אם מתאים להביא מקרה זה לפתחו של בית המשפט הגבוה לצדק, לא הייתה במקומה. גם בעניין זה יש לומר כי אין להפלות לטובה את המערערת כבעלת דין על פני בעלי דין אחרים. אדרבה, בדרך כלל וברוב רובם של המקרים המערערת כמייצגת את רשויות המדינה היא המשיבה בעתירות מסוג זה ובפיה תמיד הטענה כי מדובר בניסיון פסול לעשות שימוש בעתירה כ"נתיב חלופי" לתקיפת החלטת ביניים בהליך הפלילי וסטייה מהדרך הדיונית הראויה (וראו למשל: </w:t>
      </w:r>
      <w:r w:rsidRPr="00531BD3">
        <w:rPr>
          <w:rFonts w:hint="eastAsia"/>
          <w:rtl/>
        </w:rPr>
        <w:t>בג</w:t>
      </w:r>
      <w:r w:rsidRPr="00531BD3">
        <w:rPr>
          <w:rFonts w:hint="cs"/>
          <w:rtl/>
        </w:rPr>
        <w:t>"</w:t>
      </w:r>
      <w:r w:rsidRPr="00531BD3">
        <w:rPr>
          <w:rFonts w:hint="eastAsia"/>
          <w:rtl/>
        </w:rPr>
        <w:t>ץ</w:t>
      </w:r>
      <w:r w:rsidRPr="00531BD3">
        <w:rPr>
          <w:rtl/>
        </w:rPr>
        <w:t xml:space="preserve"> 8409/20 </w:t>
      </w:r>
      <w:r w:rsidRPr="00531BD3">
        <w:rPr>
          <w:rFonts w:ascii="Century" w:hAnsi="Century" w:cs="Miriam" w:hint="eastAsia"/>
          <w:b/>
          <w:spacing w:val="0"/>
          <w:sz w:val="22"/>
          <w:szCs w:val="24"/>
          <w:rtl/>
        </w:rPr>
        <w:t>יוגב</w:t>
      </w:r>
      <w:r w:rsidRPr="00531BD3">
        <w:rPr>
          <w:rFonts w:ascii="Century" w:hAnsi="Century" w:cs="Miriam"/>
          <w:b/>
          <w:spacing w:val="0"/>
          <w:sz w:val="22"/>
          <w:szCs w:val="24"/>
          <w:rtl/>
        </w:rPr>
        <w:t xml:space="preserve"> </w:t>
      </w:r>
      <w:r w:rsidRPr="00531BD3">
        <w:rPr>
          <w:rFonts w:ascii="Century" w:hAnsi="Century" w:cs="Miriam" w:hint="eastAsia"/>
          <w:b/>
          <w:spacing w:val="0"/>
          <w:sz w:val="22"/>
          <w:szCs w:val="24"/>
          <w:rtl/>
        </w:rPr>
        <w:t>נ</w:t>
      </w:r>
      <w:r w:rsidRPr="00531BD3">
        <w:rPr>
          <w:rFonts w:ascii="Century" w:hAnsi="Century" w:cs="Miriam"/>
          <w:b/>
          <w:spacing w:val="0"/>
          <w:sz w:val="22"/>
          <w:szCs w:val="24"/>
          <w:rtl/>
        </w:rPr>
        <w:t xml:space="preserve">' </w:t>
      </w:r>
      <w:r w:rsidRPr="00531BD3">
        <w:rPr>
          <w:rFonts w:ascii="Century" w:hAnsi="Century" w:cs="Miriam" w:hint="eastAsia"/>
          <w:b/>
          <w:spacing w:val="0"/>
          <w:sz w:val="22"/>
          <w:szCs w:val="24"/>
          <w:rtl/>
        </w:rPr>
        <w:t>היועץ</w:t>
      </w:r>
      <w:r w:rsidRPr="00531BD3">
        <w:rPr>
          <w:rFonts w:ascii="Century" w:hAnsi="Century" w:cs="Miriam"/>
          <w:b/>
          <w:spacing w:val="0"/>
          <w:sz w:val="22"/>
          <w:szCs w:val="24"/>
          <w:rtl/>
        </w:rPr>
        <w:t xml:space="preserve"> </w:t>
      </w:r>
      <w:r w:rsidRPr="00531BD3">
        <w:rPr>
          <w:rFonts w:ascii="Century" w:hAnsi="Century" w:cs="Miriam" w:hint="eastAsia"/>
          <w:b/>
          <w:spacing w:val="0"/>
          <w:sz w:val="22"/>
          <w:szCs w:val="24"/>
          <w:rtl/>
        </w:rPr>
        <w:t>המשפטי</w:t>
      </w:r>
      <w:r w:rsidRPr="00531BD3">
        <w:rPr>
          <w:rFonts w:ascii="Century" w:hAnsi="Century" w:cs="Miriam"/>
          <w:b/>
          <w:spacing w:val="0"/>
          <w:sz w:val="22"/>
          <w:szCs w:val="24"/>
          <w:rtl/>
        </w:rPr>
        <w:t xml:space="preserve"> </w:t>
      </w:r>
      <w:r w:rsidRPr="00531BD3">
        <w:rPr>
          <w:rFonts w:ascii="Century" w:hAnsi="Century" w:cs="Miriam" w:hint="eastAsia"/>
          <w:b/>
          <w:spacing w:val="0"/>
          <w:sz w:val="22"/>
          <w:szCs w:val="24"/>
          <w:rtl/>
        </w:rPr>
        <w:t>לממשלה</w:t>
      </w:r>
      <w:r w:rsidRPr="00531BD3">
        <w:rPr>
          <w:rFonts w:hint="cs"/>
          <w:rtl/>
        </w:rPr>
        <w:t>, פסקה 5 (12.1.2021);</w:t>
      </w:r>
      <w:r w:rsidRPr="00531BD3">
        <w:rPr>
          <w:rFonts w:hint="eastAsia"/>
          <w:rtl/>
        </w:rPr>
        <w:t xml:space="preserve"> בג</w:t>
      </w:r>
      <w:r w:rsidRPr="00531BD3">
        <w:rPr>
          <w:rFonts w:hint="cs"/>
          <w:rtl/>
        </w:rPr>
        <w:t>"</w:t>
      </w:r>
      <w:r w:rsidRPr="00531BD3">
        <w:rPr>
          <w:rFonts w:hint="eastAsia"/>
          <w:rtl/>
        </w:rPr>
        <w:t>ץ</w:t>
      </w:r>
      <w:r w:rsidRPr="00531BD3">
        <w:rPr>
          <w:rtl/>
        </w:rPr>
        <w:t xml:space="preserve"> 8551/16 </w:t>
      </w:r>
      <w:r w:rsidRPr="00531BD3">
        <w:rPr>
          <w:rFonts w:ascii="Century" w:hAnsi="Century" w:cs="Miriam" w:hint="eastAsia"/>
          <w:b/>
          <w:spacing w:val="0"/>
          <w:sz w:val="22"/>
          <w:szCs w:val="24"/>
          <w:rtl/>
        </w:rPr>
        <w:t>שר</w:t>
      </w:r>
      <w:r w:rsidRPr="00531BD3">
        <w:rPr>
          <w:rFonts w:ascii="Century" w:hAnsi="Century" w:cs="Miriam"/>
          <w:b/>
          <w:spacing w:val="0"/>
          <w:sz w:val="22"/>
          <w:szCs w:val="24"/>
          <w:rtl/>
        </w:rPr>
        <w:t xml:space="preserve"> </w:t>
      </w:r>
      <w:r w:rsidRPr="00531BD3">
        <w:rPr>
          <w:rFonts w:ascii="Century" w:hAnsi="Century" w:cs="Miriam" w:hint="eastAsia"/>
          <w:b/>
          <w:spacing w:val="0"/>
          <w:sz w:val="22"/>
          <w:szCs w:val="24"/>
          <w:rtl/>
        </w:rPr>
        <w:t>נ</w:t>
      </w:r>
      <w:r w:rsidRPr="00531BD3">
        <w:rPr>
          <w:rFonts w:ascii="Century" w:hAnsi="Century" w:cs="Miriam"/>
          <w:b/>
          <w:spacing w:val="0"/>
          <w:sz w:val="22"/>
          <w:szCs w:val="24"/>
          <w:rtl/>
        </w:rPr>
        <w:t xml:space="preserve">' </w:t>
      </w:r>
      <w:r w:rsidRPr="00531BD3">
        <w:rPr>
          <w:rFonts w:ascii="Century" w:hAnsi="Century" w:cs="Miriam" w:hint="eastAsia"/>
          <w:b/>
          <w:spacing w:val="0"/>
          <w:sz w:val="22"/>
          <w:szCs w:val="24"/>
          <w:rtl/>
        </w:rPr>
        <w:t>מדינת</w:t>
      </w:r>
      <w:r w:rsidRPr="00531BD3">
        <w:rPr>
          <w:rFonts w:ascii="Century" w:hAnsi="Century" w:cs="Miriam"/>
          <w:b/>
          <w:spacing w:val="0"/>
          <w:sz w:val="22"/>
          <w:szCs w:val="24"/>
          <w:rtl/>
        </w:rPr>
        <w:t xml:space="preserve"> </w:t>
      </w:r>
      <w:r w:rsidRPr="00531BD3">
        <w:rPr>
          <w:rFonts w:ascii="Century" w:hAnsi="Century" w:cs="Miriam" w:hint="eastAsia"/>
          <w:b/>
          <w:spacing w:val="0"/>
          <w:sz w:val="22"/>
          <w:szCs w:val="24"/>
          <w:rtl/>
        </w:rPr>
        <w:t>ישראל</w:t>
      </w:r>
      <w:r w:rsidRPr="00531BD3">
        <w:rPr>
          <w:rFonts w:ascii="Century" w:hAnsi="Century" w:cs="Miriam"/>
          <w:b/>
          <w:spacing w:val="0"/>
          <w:sz w:val="22"/>
          <w:szCs w:val="24"/>
          <w:rtl/>
        </w:rPr>
        <w:t xml:space="preserve"> – </w:t>
      </w:r>
      <w:r w:rsidRPr="00531BD3">
        <w:rPr>
          <w:rFonts w:ascii="Century" w:hAnsi="Century" w:cs="Miriam" w:hint="eastAsia"/>
          <w:b/>
          <w:spacing w:val="0"/>
          <w:sz w:val="22"/>
          <w:szCs w:val="24"/>
          <w:rtl/>
        </w:rPr>
        <w:t>בית</w:t>
      </w:r>
      <w:r w:rsidRPr="00531BD3">
        <w:rPr>
          <w:rFonts w:ascii="Century" w:hAnsi="Century" w:cs="Miriam"/>
          <w:b/>
          <w:spacing w:val="0"/>
          <w:sz w:val="22"/>
          <w:szCs w:val="24"/>
          <w:rtl/>
        </w:rPr>
        <w:t xml:space="preserve"> </w:t>
      </w:r>
      <w:r w:rsidRPr="00531BD3">
        <w:rPr>
          <w:rFonts w:ascii="Century" w:hAnsi="Century" w:cs="Miriam" w:hint="eastAsia"/>
          <w:b/>
          <w:spacing w:val="0"/>
          <w:sz w:val="22"/>
          <w:szCs w:val="24"/>
          <w:rtl/>
        </w:rPr>
        <w:t>המשפט</w:t>
      </w:r>
      <w:r w:rsidRPr="00531BD3">
        <w:rPr>
          <w:rFonts w:ascii="Century" w:hAnsi="Century" w:cs="Miriam"/>
          <w:b/>
          <w:spacing w:val="0"/>
          <w:sz w:val="22"/>
          <w:szCs w:val="24"/>
          <w:rtl/>
        </w:rPr>
        <w:t xml:space="preserve"> </w:t>
      </w:r>
      <w:r w:rsidRPr="00531BD3">
        <w:rPr>
          <w:rFonts w:ascii="Century" w:hAnsi="Century" w:cs="Miriam" w:hint="eastAsia"/>
          <w:b/>
          <w:spacing w:val="0"/>
          <w:sz w:val="22"/>
          <w:szCs w:val="24"/>
          <w:rtl/>
        </w:rPr>
        <w:t>המחוזי</w:t>
      </w:r>
      <w:r w:rsidRPr="00531BD3">
        <w:rPr>
          <w:rFonts w:ascii="Century" w:hAnsi="Century" w:cs="Miriam"/>
          <w:b/>
          <w:spacing w:val="0"/>
          <w:sz w:val="22"/>
          <w:szCs w:val="24"/>
          <w:rtl/>
        </w:rPr>
        <w:t xml:space="preserve"> </w:t>
      </w:r>
      <w:r w:rsidRPr="00531BD3">
        <w:rPr>
          <w:rFonts w:ascii="Century" w:hAnsi="Century" w:cs="Miriam" w:hint="eastAsia"/>
          <w:b/>
          <w:spacing w:val="0"/>
          <w:sz w:val="22"/>
          <w:szCs w:val="24"/>
          <w:rtl/>
        </w:rPr>
        <w:t>בתל</w:t>
      </w:r>
      <w:r w:rsidRPr="00531BD3">
        <w:rPr>
          <w:rFonts w:ascii="Century" w:hAnsi="Century" w:cs="Miriam"/>
          <w:b/>
          <w:spacing w:val="0"/>
          <w:sz w:val="22"/>
          <w:szCs w:val="24"/>
          <w:rtl/>
        </w:rPr>
        <w:t xml:space="preserve"> </w:t>
      </w:r>
      <w:r w:rsidRPr="00531BD3">
        <w:rPr>
          <w:rFonts w:ascii="Century" w:hAnsi="Century" w:cs="Miriam" w:hint="eastAsia"/>
          <w:b/>
          <w:spacing w:val="0"/>
          <w:sz w:val="22"/>
          <w:szCs w:val="24"/>
          <w:rtl/>
        </w:rPr>
        <w:t>אביב</w:t>
      </w:r>
      <w:r w:rsidRPr="00531BD3">
        <w:rPr>
          <w:rFonts w:ascii="Century" w:hAnsi="Century" w:cs="Miriam"/>
          <w:b/>
          <w:spacing w:val="0"/>
          <w:sz w:val="22"/>
          <w:szCs w:val="24"/>
          <w:rtl/>
        </w:rPr>
        <w:t>-</w:t>
      </w:r>
      <w:r w:rsidRPr="00531BD3">
        <w:rPr>
          <w:rFonts w:ascii="Century" w:hAnsi="Century" w:cs="Miriam" w:hint="eastAsia"/>
          <w:b/>
          <w:spacing w:val="0"/>
          <w:sz w:val="22"/>
          <w:szCs w:val="24"/>
          <w:rtl/>
        </w:rPr>
        <w:t>יפו</w:t>
      </w:r>
      <w:r w:rsidRPr="00531BD3">
        <w:rPr>
          <w:rFonts w:ascii="Century" w:hAnsi="Century" w:cs="Miriam"/>
          <w:b/>
          <w:spacing w:val="0"/>
          <w:sz w:val="22"/>
          <w:szCs w:val="24"/>
          <w:rtl/>
        </w:rPr>
        <w:t xml:space="preserve"> </w:t>
      </w:r>
      <w:r w:rsidRPr="00531BD3">
        <w:rPr>
          <w:rFonts w:ascii="Century" w:hAnsi="Century" w:cs="Miriam" w:hint="eastAsia"/>
          <w:b/>
          <w:spacing w:val="0"/>
          <w:sz w:val="22"/>
          <w:szCs w:val="24"/>
          <w:rtl/>
        </w:rPr>
        <w:t>כב</w:t>
      </w:r>
      <w:r w:rsidRPr="00531BD3">
        <w:rPr>
          <w:rFonts w:ascii="Century" w:hAnsi="Century" w:cs="Miriam"/>
          <w:b/>
          <w:spacing w:val="0"/>
          <w:sz w:val="22"/>
          <w:szCs w:val="24"/>
          <w:rtl/>
        </w:rPr>
        <w:t xml:space="preserve">' </w:t>
      </w:r>
      <w:r w:rsidRPr="00531BD3">
        <w:rPr>
          <w:rFonts w:ascii="Century" w:hAnsi="Century" w:cs="Miriam" w:hint="eastAsia"/>
          <w:b/>
          <w:spacing w:val="0"/>
          <w:sz w:val="22"/>
          <w:szCs w:val="24"/>
          <w:rtl/>
        </w:rPr>
        <w:t>השופט</w:t>
      </w:r>
      <w:r w:rsidRPr="00531BD3">
        <w:rPr>
          <w:rFonts w:ascii="Century" w:hAnsi="Century" w:cs="Miriam"/>
          <w:b/>
          <w:spacing w:val="0"/>
          <w:sz w:val="22"/>
          <w:szCs w:val="24"/>
          <w:rtl/>
        </w:rPr>
        <w:t xml:space="preserve"> </w:t>
      </w:r>
      <w:r w:rsidRPr="00531BD3">
        <w:rPr>
          <w:rFonts w:ascii="Century" w:hAnsi="Century" w:cs="Miriam" w:hint="eastAsia"/>
          <w:b/>
          <w:spacing w:val="0"/>
          <w:sz w:val="22"/>
          <w:szCs w:val="24"/>
          <w:rtl/>
        </w:rPr>
        <w:t>בני</w:t>
      </w:r>
      <w:r w:rsidRPr="00531BD3">
        <w:rPr>
          <w:rFonts w:ascii="Century" w:hAnsi="Century" w:cs="Miriam"/>
          <w:b/>
          <w:spacing w:val="0"/>
          <w:sz w:val="22"/>
          <w:szCs w:val="24"/>
          <w:rtl/>
        </w:rPr>
        <w:t xml:space="preserve"> </w:t>
      </w:r>
      <w:r w:rsidRPr="00531BD3">
        <w:rPr>
          <w:rFonts w:ascii="Century" w:hAnsi="Century" w:cs="Miriam" w:hint="eastAsia"/>
          <w:b/>
          <w:spacing w:val="0"/>
          <w:sz w:val="22"/>
          <w:szCs w:val="24"/>
          <w:rtl/>
        </w:rPr>
        <w:t>שגיא</w:t>
      </w:r>
      <w:r w:rsidRPr="00531BD3">
        <w:rPr>
          <w:rFonts w:hint="cs"/>
          <w:rtl/>
        </w:rPr>
        <w:t xml:space="preserve">, פסקה 14 (11.12.2016); </w:t>
      </w:r>
      <w:r w:rsidRPr="00531BD3">
        <w:rPr>
          <w:rFonts w:hint="eastAsia"/>
          <w:rtl/>
        </w:rPr>
        <w:t>בג</w:t>
      </w:r>
      <w:r w:rsidRPr="00531BD3">
        <w:rPr>
          <w:rFonts w:hint="cs"/>
          <w:rtl/>
        </w:rPr>
        <w:t>"</w:t>
      </w:r>
      <w:r w:rsidRPr="00531BD3">
        <w:rPr>
          <w:rFonts w:hint="eastAsia"/>
          <w:rtl/>
        </w:rPr>
        <w:t>ץ</w:t>
      </w:r>
      <w:r w:rsidRPr="00531BD3">
        <w:rPr>
          <w:rtl/>
        </w:rPr>
        <w:t xml:space="preserve"> 1487/19</w:t>
      </w:r>
      <w:r w:rsidRPr="00531BD3">
        <w:rPr>
          <w:rFonts w:hint="cs"/>
          <w:rtl/>
        </w:rPr>
        <w:t xml:space="preserve"> </w:t>
      </w:r>
      <w:proofErr w:type="spellStart"/>
      <w:r w:rsidRPr="00531BD3">
        <w:rPr>
          <w:rFonts w:ascii="Century" w:hAnsi="Century" w:cs="Miriam" w:hint="eastAsia"/>
          <w:b/>
          <w:spacing w:val="0"/>
          <w:sz w:val="22"/>
          <w:szCs w:val="24"/>
          <w:rtl/>
        </w:rPr>
        <w:t>מיארה</w:t>
      </w:r>
      <w:proofErr w:type="spellEnd"/>
      <w:r w:rsidRPr="00531BD3">
        <w:rPr>
          <w:rFonts w:ascii="Century" w:hAnsi="Century" w:cs="Miriam"/>
          <w:b/>
          <w:spacing w:val="0"/>
          <w:sz w:val="22"/>
          <w:szCs w:val="24"/>
          <w:rtl/>
        </w:rPr>
        <w:t xml:space="preserve"> </w:t>
      </w:r>
      <w:r w:rsidRPr="00531BD3">
        <w:rPr>
          <w:rFonts w:ascii="Century" w:hAnsi="Century" w:cs="Miriam" w:hint="eastAsia"/>
          <w:b/>
          <w:spacing w:val="0"/>
          <w:sz w:val="22"/>
          <w:szCs w:val="24"/>
          <w:rtl/>
        </w:rPr>
        <w:t>נ</w:t>
      </w:r>
      <w:r w:rsidRPr="00531BD3">
        <w:rPr>
          <w:rFonts w:ascii="Century" w:hAnsi="Century" w:cs="Miriam"/>
          <w:b/>
          <w:spacing w:val="0"/>
          <w:sz w:val="22"/>
          <w:szCs w:val="24"/>
          <w:rtl/>
        </w:rPr>
        <w:t xml:space="preserve">' </w:t>
      </w:r>
      <w:r w:rsidRPr="00531BD3">
        <w:rPr>
          <w:rFonts w:ascii="Century" w:hAnsi="Century" w:cs="Miriam" w:hint="eastAsia"/>
          <w:b/>
          <w:spacing w:val="0"/>
          <w:sz w:val="22"/>
          <w:szCs w:val="24"/>
          <w:rtl/>
        </w:rPr>
        <w:t>מדינת</w:t>
      </w:r>
      <w:r w:rsidRPr="00531BD3">
        <w:rPr>
          <w:rFonts w:ascii="Century" w:hAnsi="Century" w:cs="Miriam"/>
          <w:b/>
          <w:spacing w:val="0"/>
          <w:sz w:val="22"/>
          <w:szCs w:val="24"/>
          <w:rtl/>
        </w:rPr>
        <w:t xml:space="preserve"> </w:t>
      </w:r>
      <w:r w:rsidRPr="00531BD3">
        <w:rPr>
          <w:rFonts w:ascii="Century" w:hAnsi="Century" w:cs="Miriam" w:hint="eastAsia"/>
          <w:b/>
          <w:spacing w:val="0"/>
          <w:sz w:val="22"/>
          <w:szCs w:val="24"/>
          <w:rtl/>
        </w:rPr>
        <w:t>ישראל</w:t>
      </w:r>
      <w:r w:rsidRPr="00531BD3">
        <w:rPr>
          <w:rFonts w:hint="cs"/>
          <w:rtl/>
        </w:rPr>
        <w:t>, פסקה 5 (24.3.2019)). על כן פלא גדול בעיניי כיצד ניתן להעלות על הדעת שימוש מעין זה על ידי המערערת, רק בשל כך שהיא מוצאת את עצמה בצד הנפגע ממהלך דיוני בתיק. על כך נאמר "טול קיסם מבין שיניך; טול קורה מבין עיניך" (</w:t>
      </w:r>
      <w:r w:rsidRPr="00531BD3">
        <w:rPr>
          <w:rFonts w:ascii="Century" w:hAnsi="Century" w:cs="Miriam" w:hint="cs"/>
          <w:b/>
          <w:spacing w:val="0"/>
          <w:sz w:val="22"/>
          <w:szCs w:val="24"/>
          <w:rtl/>
        </w:rPr>
        <w:t xml:space="preserve">בבלי, בבא </w:t>
      </w:r>
      <w:proofErr w:type="spellStart"/>
      <w:r w:rsidRPr="00531BD3">
        <w:rPr>
          <w:rFonts w:ascii="Century" w:hAnsi="Century" w:cs="Miriam" w:hint="cs"/>
          <w:b/>
          <w:spacing w:val="0"/>
          <w:sz w:val="22"/>
          <w:szCs w:val="24"/>
          <w:rtl/>
        </w:rPr>
        <w:t>בתרא</w:t>
      </w:r>
      <w:proofErr w:type="spellEnd"/>
      <w:r w:rsidRPr="00531BD3">
        <w:rPr>
          <w:rFonts w:hint="cs"/>
          <w:rtl/>
        </w:rPr>
        <w:t xml:space="preserve"> ט"ו, ע"ב).</w:t>
      </w:r>
    </w:p>
    <w:p w:rsidR="008A4DD4" w:rsidRPr="00531BD3" w:rsidRDefault="008A4DD4" w:rsidP="008A4DD4">
      <w:pPr>
        <w:pStyle w:val="Ruller41"/>
        <w:rPr>
          <w:rtl/>
        </w:rPr>
      </w:pPr>
    </w:p>
    <w:p w:rsidR="008A4DD4" w:rsidRPr="00531BD3" w:rsidRDefault="008A4DD4" w:rsidP="00FB0052">
      <w:pPr>
        <w:pStyle w:val="Ruller4"/>
        <w:rPr>
          <w:rtl/>
        </w:rPr>
      </w:pPr>
      <w:r w:rsidRPr="00531BD3">
        <w:rPr>
          <w:rFonts w:hint="cs"/>
          <w:rtl/>
        </w:rPr>
        <w:t>אחר כל זאת, וחרף האמור,</w:t>
      </w:r>
      <w:r w:rsidR="00F220B5">
        <w:rPr>
          <w:rFonts w:hint="cs"/>
          <w:rtl/>
        </w:rPr>
        <w:t xml:space="preserve"> לפנינו נסיבות מיוחדות וחריגות. </w:t>
      </w:r>
      <w:proofErr w:type="spellStart"/>
      <w:r w:rsidRPr="00531BD3">
        <w:rPr>
          <w:rFonts w:hint="cs"/>
          <w:rtl/>
        </w:rPr>
        <w:t>אלוביץ</w:t>
      </w:r>
      <w:proofErr w:type="spellEnd"/>
      <w:r w:rsidRPr="00531BD3">
        <w:rPr>
          <w:rFonts w:hint="cs"/>
          <w:rtl/>
        </w:rPr>
        <w:t xml:space="preserve">' לא ביקש למחוק את הערעור נגדו על הסף ולא העלה כל טענה נגד הגשתו. יתרה מכך, בדיון לפנינו הבהיר בא-כוחו כי אינו סבור שניתן לנהל את הגנתו באופן מיטבי בנסיבות שנוצרו ועל </w:t>
      </w:r>
      <w:r w:rsidRPr="00531BD3">
        <w:rPr>
          <w:rFonts w:hint="cs"/>
          <w:rtl/>
        </w:rPr>
        <w:lastRenderedPageBreak/>
        <w:t xml:space="preserve">כן נתן את הסכמתו המפורשת לדיון בערעור בעניינו בשלב הזה, על כלל ההשלכות הנובעות מכך. </w:t>
      </w:r>
      <w:r w:rsidR="00F220B5">
        <w:rPr>
          <w:rFonts w:hint="cs"/>
          <w:rtl/>
        </w:rPr>
        <w:t xml:space="preserve">דחיית הערעור במקרה דנן, עומדת בניגוד לטובת </w:t>
      </w:r>
      <w:proofErr w:type="spellStart"/>
      <w:r w:rsidR="00F220B5">
        <w:rPr>
          <w:rFonts w:hint="cs"/>
          <w:rtl/>
        </w:rPr>
        <w:t>אלוביץ</w:t>
      </w:r>
      <w:proofErr w:type="spellEnd"/>
      <w:r w:rsidR="00F220B5">
        <w:rPr>
          <w:rFonts w:hint="cs"/>
          <w:rtl/>
        </w:rPr>
        <w:t>' ותפגע בו עקב הימשכות ההליכים, שהרי המ</w:t>
      </w:r>
      <w:r w:rsidR="00FB0052">
        <w:rPr>
          <w:rFonts w:hint="cs"/>
          <w:rtl/>
        </w:rPr>
        <w:t>ערערת</w:t>
      </w:r>
      <w:r w:rsidR="00F220B5">
        <w:rPr>
          <w:rFonts w:hint="cs"/>
          <w:rtl/>
        </w:rPr>
        <w:t xml:space="preserve"> הודיעה כי בכוונתה לערער בכל מקרה, בסופו של </w:t>
      </w:r>
      <w:r w:rsidR="003D7B8B">
        <w:rPr>
          <w:rFonts w:hint="cs"/>
          <w:rtl/>
        </w:rPr>
        <w:t>ה</w:t>
      </w:r>
      <w:r w:rsidR="00F220B5">
        <w:rPr>
          <w:rFonts w:hint="cs"/>
          <w:rtl/>
        </w:rPr>
        <w:t xml:space="preserve">הליך. </w:t>
      </w:r>
      <w:r w:rsidR="00FB0052">
        <w:rPr>
          <w:rFonts w:hint="cs"/>
          <w:rtl/>
        </w:rPr>
        <w:t xml:space="preserve">כמו כן, </w:t>
      </w:r>
      <w:r w:rsidR="00F220B5">
        <w:rPr>
          <w:rFonts w:hint="cs"/>
          <w:rtl/>
        </w:rPr>
        <w:t xml:space="preserve">דחיית הערעור על הסף עלולה לפגוע </w:t>
      </w:r>
      <w:proofErr w:type="spellStart"/>
      <w:r w:rsidR="00F220B5">
        <w:rPr>
          <w:rFonts w:hint="cs"/>
          <w:rtl/>
        </w:rPr>
        <w:t>באלוביץ</w:t>
      </w:r>
      <w:proofErr w:type="spellEnd"/>
      <w:r w:rsidR="00F220B5">
        <w:rPr>
          <w:rFonts w:hint="cs"/>
          <w:rtl/>
        </w:rPr>
        <w:t xml:space="preserve">' בעתיד, מבלי שניתן לו יומו </w:t>
      </w:r>
      <w:r w:rsidR="003D7B8B">
        <w:rPr>
          <w:rFonts w:hint="cs"/>
          <w:rtl/>
        </w:rPr>
        <w:t>ל</w:t>
      </w:r>
      <w:r w:rsidR="00F220B5">
        <w:rPr>
          <w:rFonts w:hint="cs"/>
          <w:rtl/>
        </w:rPr>
        <w:t xml:space="preserve">פני בית משפט זה. </w:t>
      </w:r>
      <w:r w:rsidR="00FB0052">
        <w:rPr>
          <w:rFonts w:hint="cs"/>
          <w:rtl/>
        </w:rPr>
        <w:t xml:space="preserve">זאת ועוד, </w:t>
      </w:r>
      <w:r w:rsidR="003D7B8B">
        <w:rPr>
          <w:rFonts w:hint="cs"/>
          <w:rtl/>
        </w:rPr>
        <w:t>עניינ</w:t>
      </w:r>
      <w:r w:rsidR="00F220B5">
        <w:rPr>
          <w:rFonts w:hint="cs"/>
          <w:rtl/>
        </w:rPr>
        <w:t xml:space="preserve">ו של </w:t>
      </w:r>
      <w:proofErr w:type="spellStart"/>
      <w:r w:rsidR="00F220B5">
        <w:rPr>
          <w:rFonts w:hint="cs"/>
          <w:rtl/>
        </w:rPr>
        <w:t>אלוביץ</w:t>
      </w:r>
      <w:proofErr w:type="spellEnd"/>
      <w:r w:rsidR="00F220B5">
        <w:rPr>
          <w:rFonts w:hint="cs"/>
          <w:rtl/>
        </w:rPr>
        <w:t>' ממילא נכרך וקשור ב</w:t>
      </w:r>
      <w:r w:rsidR="003D7B8B">
        <w:rPr>
          <w:rFonts w:hint="cs"/>
          <w:rtl/>
        </w:rPr>
        <w:t xml:space="preserve">משיבים </w:t>
      </w:r>
      <w:r w:rsidR="00F220B5">
        <w:rPr>
          <w:rFonts w:hint="cs"/>
          <w:rtl/>
        </w:rPr>
        <w:t>אחרים שלגביהם הערעור הוא בזכ</w:t>
      </w:r>
      <w:r w:rsidR="00FB0052">
        <w:rPr>
          <w:rFonts w:hint="cs"/>
          <w:rtl/>
        </w:rPr>
        <w:t xml:space="preserve">ות. </w:t>
      </w:r>
      <w:r w:rsidRPr="00531BD3">
        <w:rPr>
          <w:rFonts w:hint="cs"/>
          <w:rtl/>
        </w:rPr>
        <w:t xml:space="preserve">בהצטרף נסיבות אלו ראינו לנכון לשמוע טענות גם בעניינו של </w:t>
      </w:r>
      <w:proofErr w:type="spellStart"/>
      <w:r w:rsidRPr="00531BD3">
        <w:rPr>
          <w:rFonts w:hint="cs"/>
          <w:rtl/>
        </w:rPr>
        <w:t>אלוביץ</w:t>
      </w:r>
      <w:proofErr w:type="spellEnd"/>
      <w:r w:rsidRPr="00531BD3">
        <w:rPr>
          <w:rFonts w:hint="cs"/>
          <w:rtl/>
        </w:rPr>
        <w:t>' ולתת הכרעה לגופו של עניין</w:t>
      </w:r>
      <w:r w:rsidR="00921A27">
        <w:rPr>
          <w:rFonts w:hint="cs"/>
          <w:rtl/>
        </w:rPr>
        <w:t xml:space="preserve"> (והשוו: ע"פ 4345/08 </w:t>
      </w:r>
      <w:r w:rsidR="00921A27" w:rsidRPr="00BC6567">
        <w:rPr>
          <w:rFonts w:ascii="Century" w:hAnsi="Century" w:cs="Miriam" w:hint="cs"/>
          <w:b/>
          <w:spacing w:val="0"/>
          <w:sz w:val="22"/>
          <w:szCs w:val="24"/>
          <w:rtl/>
        </w:rPr>
        <w:t>אולמרט נ' מדינת ישראל</w:t>
      </w:r>
      <w:r w:rsidR="00921A27">
        <w:rPr>
          <w:rFonts w:hint="cs"/>
          <w:rtl/>
        </w:rPr>
        <w:t>, פסקה 7 (20.5.2008))</w:t>
      </w:r>
      <w:r w:rsidRPr="00531BD3">
        <w:rPr>
          <w:rFonts w:hint="cs"/>
          <w:rtl/>
        </w:rPr>
        <w:t xml:space="preserve">. זאת מבלי לשנות מהקביעות העקרוניות בדבר דרך ההשגה שבה יש לילך, בהחלטות מסוג זה במקרים אחרים. </w:t>
      </w:r>
    </w:p>
    <w:p w:rsidR="008A4DD4" w:rsidRPr="00531BD3" w:rsidRDefault="008A4DD4" w:rsidP="005C1D5D">
      <w:pPr>
        <w:pStyle w:val="Ruller4"/>
        <w:numPr>
          <w:ilvl w:val="0"/>
          <w:numId w:val="0"/>
        </w:numPr>
        <w:rPr>
          <w:rtl/>
        </w:rPr>
      </w:pPr>
    </w:p>
    <w:p w:rsidR="008A4DD4" w:rsidRPr="00531BD3" w:rsidRDefault="008A4DD4" w:rsidP="008A4DD4">
      <w:pPr>
        <w:pStyle w:val="Ruller4"/>
      </w:pPr>
      <w:r w:rsidRPr="00531BD3">
        <w:rPr>
          <w:rFonts w:hint="cs"/>
          <w:rtl/>
        </w:rPr>
        <w:t xml:space="preserve">זאת ועוד, גם יורוקום </w:t>
      </w:r>
      <w:proofErr w:type="spellStart"/>
      <w:r w:rsidRPr="00531BD3">
        <w:rPr>
          <w:rFonts w:hint="cs"/>
          <w:rtl/>
        </w:rPr>
        <w:t>די.בי.אס</w:t>
      </w:r>
      <w:proofErr w:type="spellEnd"/>
      <w:r w:rsidRPr="00531BD3">
        <w:rPr>
          <w:rFonts w:hint="cs"/>
          <w:rtl/>
        </w:rPr>
        <w:t xml:space="preserve"> (משיבה 5) ויורוקום טכנולוגיות (משיבה 6) לא הביעו התנגדות לשמיעת הערעור לגופו (יורוקום </w:t>
      </w:r>
      <w:proofErr w:type="spellStart"/>
      <w:r w:rsidRPr="00531BD3">
        <w:rPr>
          <w:rFonts w:hint="cs"/>
          <w:rtl/>
        </w:rPr>
        <w:t>די.בי.אס</w:t>
      </w:r>
      <w:proofErr w:type="spellEnd"/>
      <w:r w:rsidRPr="00531BD3">
        <w:rPr>
          <w:rFonts w:hint="cs"/>
          <w:rtl/>
        </w:rPr>
        <w:t xml:space="preserve"> הותירה את ההכרעה לשיקול דעת בית המשפט ויורוקום טכנולוגיות לא הגיבה כלל לקיום ההליך, לא בכתב ולא בעל-פה בדיון שהתקיים לפנינו). על כן, ובהינתן שהעבירות מושא האישום יוחסו להן מכוח מעשיהם ומחשבותיהם הפליליות של אורגניהן </w:t>
      </w:r>
      <w:r w:rsidRPr="00531BD3">
        <w:rPr>
          <w:rtl/>
        </w:rPr>
        <w:t>–</w:t>
      </w:r>
      <w:r w:rsidRPr="00531BD3">
        <w:rPr>
          <w:rFonts w:hint="cs"/>
          <w:rtl/>
        </w:rPr>
        <w:t xml:space="preserve"> </w:t>
      </w:r>
      <w:proofErr w:type="spellStart"/>
      <w:r w:rsidRPr="00531BD3">
        <w:rPr>
          <w:rFonts w:hint="cs"/>
          <w:rtl/>
        </w:rPr>
        <w:t>אלוביץ</w:t>
      </w:r>
      <w:proofErr w:type="spellEnd"/>
      <w:r w:rsidRPr="00531BD3">
        <w:rPr>
          <w:rFonts w:hint="cs"/>
          <w:rtl/>
        </w:rPr>
        <w:t xml:space="preserve">' ומשיבים 3-2, אין מקום להפרדת עניינן מעניינם של אורגניהן. </w:t>
      </w:r>
    </w:p>
    <w:p w:rsidR="008A4DD4" w:rsidRPr="00531BD3" w:rsidRDefault="008A4DD4" w:rsidP="008A4DD4">
      <w:pPr>
        <w:pStyle w:val="Ruller4"/>
        <w:numPr>
          <w:ilvl w:val="0"/>
          <w:numId w:val="0"/>
        </w:numPr>
        <w:rPr>
          <w:rtl/>
        </w:rPr>
      </w:pPr>
    </w:p>
    <w:p w:rsidR="008A4DD4" w:rsidRPr="00531BD3" w:rsidRDefault="008A4DD4" w:rsidP="008A4DD4">
      <w:pPr>
        <w:pStyle w:val="Ruller4"/>
        <w:numPr>
          <w:ilvl w:val="0"/>
          <w:numId w:val="0"/>
        </w:numPr>
        <w:rPr>
          <w:rtl/>
        </w:rPr>
      </w:pPr>
      <w:r w:rsidRPr="00531BD3">
        <w:rPr>
          <w:rtl/>
        </w:rPr>
        <w:tab/>
      </w:r>
      <w:r w:rsidRPr="00531BD3">
        <w:rPr>
          <w:rFonts w:hint="cs"/>
          <w:rtl/>
        </w:rPr>
        <w:t xml:space="preserve">לעומת זאת, </w:t>
      </w:r>
      <w:r w:rsidRPr="00531BD3">
        <w:rPr>
          <w:rFonts w:hint="eastAsia"/>
          <w:rtl/>
        </w:rPr>
        <w:t>יורוקום</w:t>
      </w:r>
      <w:r w:rsidRPr="00531BD3">
        <w:rPr>
          <w:rtl/>
        </w:rPr>
        <w:t xml:space="preserve"> </w:t>
      </w:r>
      <w:r w:rsidRPr="00531BD3">
        <w:rPr>
          <w:rFonts w:hint="eastAsia"/>
          <w:rtl/>
        </w:rPr>
        <w:t>אחזקות</w:t>
      </w:r>
      <w:r w:rsidRPr="00531BD3">
        <w:rPr>
          <w:rFonts w:hint="cs"/>
          <w:rtl/>
        </w:rPr>
        <w:t xml:space="preserve"> (משיבה 7) הביעה התנגדות נחרצת לדון בטענות נגדה. על כן, בהיעדר זכות ערעור למערערת נגדה, דין הערעור בעניינה להידחות. אם כי יצוין שבאופן מהותי, גם עניינה שלה נגרר אחרי עניינם של אורגניה (המשיבים) ומוטב כי הדבר יבוא לידי ביטוי במסגרת ההליך שימשיך להתקיים בבית המשפט המחוזי.</w:t>
      </w:r>
    </w:p>
    <w:p w:rsidR="008A4DD4" w:rsidRPr="00531BD3" w:rsidRDefault="008A4DD4" w:rsidP="008A4DD4">
      <w:pPr>
        <w:pStyle w:val="Ruller41"/>
        <w:rPr>
          <w:rtl/>
        </w:rPr>
      </w:pPr>
    </w:p>
    <w:p w:rsidR="008A4DD4" w:rsidRPr="00531BD3" w:rsidRDefault="008A4DD4" w:rsidP="008A4DD4">
      <w:pPr>
        <w:pStyle w:val="Ruller4"/>
      </w:pPr>
      <w:r w:rsidRPr="00531BD3">
        <w:rPr>
          <w:rFonts w:hint="cs"/>
          <w:rtl/>
        </w:rPr>
        <w:t xml:space="preserve">ומילת הקדמה נוספת. משמעותה של טענה מקדמית המעוגנת בסעיף 149(4) </w:t>
      </w:r>
      <w:proofErr w:type="spellStart"/>
      <w:r w:rsidRPr="00531BD3">
        <w:rPr>
          <w:rFonts w:hint="cs"/>
          <w:rtl/>
        </w:rPr>
        <w:t>לחסד"פ</w:t>
      </w:r>
      <w:proofErr w:type="spellEnd"/>
      <w:r w:rsidRPr="00531BD3">
        <w:rPr>
          <w:rFonts w:hint="cs"/>
          <w:rtl/>
        </w:rPr>
        <w:t xml:space="preserve">, היא שגם אם יודה הנאשם בכל העובדות המפורטות בכתב האישום, לא יהיה בכך בסיס נאות להרשעתו בעבירות המיוחסות לו או בעבירה אחרת מאותו "סוג" </w:t>
      </w:r>
      <w:r w:rsidRPr="00531BD3">
        <w:rPr>
          <w:rtl/>
        </w:rPr>
        <w:t>(</w:t>
      </w:r>
      <w:r w:rsidRPr="00531BD3">
        <w:rPr>
          <w:rFonts w:hint="eastAsia"/>
          <w:rtl/>
        </w:rPr>
        <w:t>יעקב</w:t>
      </w:r>
      <w:r w:rsidRPr="00531BD3">
        <w:rPr>
          <w:rtl/>
        </w:rPr>
        <w:t xml:space="preserve"> </w:t>
      </w:r>
      <w:r w:rsidRPr="00531BD3">
        <w:rPr>
          <w:rFonts w:hint="eastAsia"/>
          <w:rtl/>
        </w:rPr>
        <w:t>קדמי</w:t>
      </w:r>
      <w:r w:rsidRPr="00531BD3">
        <w:rPr>
          <w:rtl/>
        </w:rPr>
        <w:t xml:space="preserve"> </w:t>
      </w:r>
      <w:r w:rsidRPr="00531BD3">
        <w:rPr>
          <w:rFonts w:ascii="Century" w:hAnsi="Century" w:cs="Miriam" w:hint="eastAsia"/>
          <w:b/>
          <w:spacing w:val="0"/>
          <w:sz w:val="22"/>
          <w:szCs w:val="24"/>
          <w:rtl/>
        </w:rPr>
        <w:t>על</w:t>
      </w:r>
      <w:r w:rsidRPr="00531BD3">
        <w:rPr>
          <w:rFonts w:ascii="Century" w:hAnsi="Century" w:cs="Miriam"/>
          <w:b/>
          <w:spacing w:val="0"/>
          <w:sz w:val="22"/>
          <w:szCs w:val="24"/>
          <w:rtl/>
        </w:rPr>
        <w:t xml:space="preserve"> </w:t>
      </w:r>
      <w:r w:rsidRPr="00531BD3">
        <w:rPr>
          <w:rFonts w:ascii="Century" w:hAnsi="Century" w:cs="Miriam" w:hint="eastAsia"/>
          <w:b/>
          <w:spacing w:val="0"/>
          <w:sz w:val="22"/>
          <w:szCs w:val="24"/>
          <w:rtl/>
        </w:rPr>
        <w:t>סדר</w:t>
      </w:r>
      <w:r w:rsidRPr="00531BD3">
        <w:rPr>
          <w:rFonts w:ascii="Century" w:hAnsi="Century" w:cs="Miriam"/>
          <w:b/>
          <w:spacing w:val="0"/>
          <w:sz w:val="22"/>
          <w:szCs w:val="24"/>
          <w:rtl/>
        </w:rPr>
        <w:t xml:space="preserve"> </w:t>
      </w:r>
      <w:r w:rsidRPr="00531BD3">
        <w:rPr>
          <w:rFonts w:ascii="Century" w:hAnsi="Century" w:cs="Miriam" w:hint="eastAsia"/>
          <w:b/>
          <w:spacing w:val="0"/>
          <w:sz w:val="22"/>
          <w:szCs w:val="24"/>
          <w:rtl/>
        </w:rPr>
        <w:t>הדין</w:t>
      </w:r>
      <w:r w:rsidRPr="00531BD3">
        <w:rPr>
          <w:rFonts w:ascii="Century" w:hAnsi="Century" w:cs="Miriam"/>
          <w:b/>
          <w:spacing w:val="0"/>
          <w:sz w:val="22"/>
          <w:szCs w:val="24"/>
          <w:rtl/>
        </w:rPr>
        <w:t xml:space="preserve"> </w:t>
      </w:r>
      <w:r w:rsidRPr="00531BD3">
        <w:rPr>
          <w:rFonts w:ascii="Century" w:hAnsi="Century" w:cs="Miriam" w:hint="eastAsia"/>
          <w:b/>
          <w:spacing w:val="0"/>
          <w:sz w:val="22"/>
          <w:szCs w:val="24"/>
          <w:rtl/>
        </w:rPr>
        <w:t>בפלילים</w:t>
      </w:r>
      <w:r w:rsidRPr="00531BD3">
        <w:rPr>
          <w:rtl/>
        </w:rPr>
        <w:t xml:space="preserve"> </w:t>
      </w:r>
      <w:r w:rsidRPr="00531BD3">
        <w:rPr>
          <w:rFonts w:ascii="Century" w:hAnsi="Century" w:cs="Miriam"/>
          <w:b/>
          <w:spacing w:val="0"/>
          <w:sz w:val="22"/>
          <w:szCs w:val="24"/>
          <w:rtl/>
        </w:rPr>
        <w:t xml:space="preserve">– </w:t>
      </w:r>
      <w:r w:rsidRPr="00531BD3">
        <w:rPr>
          <w:rFonts w:ascii="Century" w:hAnsi="Century" w:cs="Miriam" w:hint="eastAsia"/>
          <w:b/>
          <w:spacing w:val="0"/>
          <w:sz w:val="22"/>
          <w:szCs w:val="24"/>
          <w:rtl/>
        </w:rPr>
        <w:t>חלק</w:t>
      </w:r>
      <w:r w:rsidRPr="00531BD3">
        <w:rPr>
          <w:rFonts w:ascii="Century" w:hAnsi="Century" w:cs="Miriam"/>
          <w:b/>
          <w:spacing w:val="0"/>
          <w:sz w:val="22"/>
          <w:szCs w:val="24"/>
          <w:rtl/>
        </w:rPr>
        <w:t xml:space="preserve"> </w:t>
      </w:r>
      <w:r w:rsidRPr="00531BD3">
        <w:rPr>
          <w:rFonts w:ascii="Century" w:hAnsi="Century" w:cs="Miriam" w:hint="eastAsia"/>
          <w:b/>
          <w:spacing w:val="0"/>
          <w:sz w:val="22"/>
          <w:szCs w:val="24"/>
          <w:rtl/>
        </w:rPr>
        <w:t>ראשון</w:t>
      </w:r>
      <w:r w:rsidRPr="00531BD3">
        <w:rPr>
          <w:rFonts w:ascii="Century" w:hAnsi="Century" w:cs="Miriam"/>
          <w:b/>
          <w:spacing w:val="0"/>
          <w:sz w:val="22"/>
          <w:szCs w:val="24"/>
          <w:rtl/>
        </w:rPr>
        <w:t xml:space="preserve"> </w:t>
      </w:r>
      <w:r w:rsidRPr="00531BD3">
        <w:rPr>
          <w:rFonts w:ascii="Century" w:hAnsi="Century" w:cs="Miriam" w:hint="eastAsia"/>
          <w:b/>
          <w:spacing w:val="0"/>
          <w:sz w:val="22"/>
          <w:szCs w:val="24"/>
          <w:rtl/>
        </w:rPr>
        <w:t>הליכים</w:t>
      </w:r>
      <w:r w:rsidRPr="00531BD3">
        <w:rPr>
          <w:rFonts w:ascii="Century" w:hAnsi="Century" w:cs="Miriam"/>
          <w:b/>
          <w:spacing w:val="0"/>
          <w:sz w:val="22"/>
          <w:szCs w:val="24"/>
          <w:rtl/>
        </w:rPr>
        <w:t xml:space="preserve"> </w:t>
      </w:r>
      <w:r w:rsidRPr="00531BD3">
        <w:rPr>
          <w:rFonts w:ascii="Century" w:hAnsi="Century" w:cs="Miriam" w:hint="eastAsia"/>
          <w:b/>
          <w:spacing w:val="0"/>
          <w:sz w:val="22"/>
          <w:szCs w:val="24"/>
          <w:rtl/>
        </w:rPr>
        <w:t>שלפני</w:t>
      </w:r>
      <w:r w:rsidRPr="00531BD3">
        <w:rPr>
          <w:rFonts w:ascii="Century" w:hAnsi="Century" w:cs="Miriam"/>
          <w:b/>
          <w:spacing w:val="0"/>
          <w:sz w:val="22"/>
          <w:szCs w:val="24"/>
          <w:rtl/>
        </w:rPr>
        <w:t xml:space="preserve"> </w:t>
      </w:r>
      <w:r w:rsidRPr="00531BD3">
        <w:rPr>
          <w:rFonts w:ascii="Century" w:hAnsi="Century" w:cs="Miriam" w:hint="eastAsia"/>
          <w:b/>
          <w:spacing w:val="0"/>
          <w:sz w:val="22"/>
          <w:szCs w:val="24"/>
          <w:rtl/>
        </w:rPr>
        <w:t>משפט</w:t>
      </w:r>
      <w:r w:rsidRPr="00531BD3">
        <w:rPr>
          <w:rtl/>
        </w:rPr>
        <w:t xml:space="preserve"> </w:t>
      </w:r>
      <w:r w:rsidRPr="00531BD3">
        <w:rPr>
          <w:rFonts w:hint="eastAsia"/>
          <w:rtl/>
        </w:rPr>
        <w:t>א</w:t>
      </w:r>
      <w:r w:rsidRPr="00531BD3">
        <w:rPr>
          <w:rtl/>
        </w:rPr>
        <w:t xml:space="preserve"> 1293 (</w:t>
      </w:r>
      <w:r w:rsidRPr="00531BD3">
        <w:rPr>
          <w:rFonts w:hint="eastAsia"/>
          <w:rtl/>
        </w:rPr>
        <w:t>מהדורה</w:t>
      </w:r>
      <w:r w:rsidRPr="00531BD3">
        <w:rPr>
          <w:rtl/>
        </w:rPr>
        <w:t xml:space="preserve"> </w:t>
      </w:r>
      <w:r w:rsidRPr="00531BD3">
        <w:rPr>
          <w:rFonts w:hint="eastAsia"/>
          <w:rtl/>
        </w:rPr>
        <w:t>מעודכנת</w:t>
      </w:r>
      <w:r w:rsidRPr="00531BD3">
        <w:rPr>
          <w:rtl/>
        </w:rPr>
        <w:t>, 2009))</w:t>
      </w:r>
      <w:r w:rsidRPr="00531BD3">
        <w:rPr>
          <w:rFonts w:hint="cs"/>
          <w:rtl/>
        </w:rPr>
        <w:t xml:space="preserve">. הקביעה שעובדות כתב האישום אינן מהוות עבירה תיעשה על כן רק במצב דברים שבו </w:t>
      </w:r>
      <w:r w:rsidRPr="00531BD3">
        <w:rPr>
          <w:rFonts w:ascii="Century" w:hAnsi="Century" w:hint="cs"/>
          <w:sz w:val="22"/>
          <w:rtl/>
        </w:rPr>
        <w:t>אין כל היתכנות</w:t>
      </w:r>
      <w:r w:rsidRPr="00531BD3">
        <w:rPr>
          <w:rFonts w:hint="cs"/>
          <w:rtl/>
        </w:rPr>
        <w:t xml:space="preserve"> להרשעת הנאשם בעבירה המיוחסת לו. החלטה </w:t>
      </w:r>
      <w:r w:rsidRPr="00531BD3">
        <w:rPr>
          <w:rFonts w:ascii="Century" w:hAnsi="Century" w:cs="Miriam" w:hint="cs"/>
          <w:b/>
          <w:spacing w:val="0"/>
          <w:sz w:val="22"/>
          <w:szCs w:val="24"/>
          <w:rtl/>
        </w:rPr>
        <w:t>לאלתר</w:t>
      </w:r>
      <w:r w:rsidRPr="00531BD3">
        <w:rPr>
          <w:rFonts w:hint="cs"/>
          <w:rtl/>
        </w:rPr>
        <w:t xml:space="preserve"> ה</w:t>
      </w:r>
      <w:r w:rsidRPr="00531BD3">
        <w:rPr>
          <w:rFonts w:hint="eastAsia"/>
          <w:rtl/>
        </w:rPr>
        <w:t>מורה</w:t>
      </w:r>
      <w:r w:rsidRPr="00531BD3">
        <w:rPr>
          <w:rtl/>
        </w:rPr>
        <w:t xml:space="preserve"> </w:t>
      </w:r>
      <w:r w:rsidRPr="00531BD3">
        <w:rPr>
          <w:rFonts w:hint="cs"/>
          <w:rtl/>
        </w:rPr>
        <w:t xml:space="preserve">אפוא על </w:t>
      </w:r>
      <w:r w:rsidRPr="00531BD3">
        <w:rPr>
          <w:rFonts w:hint="eastAsia"/>
          <w:rtl/>
        </w:rPr>
        <w:t>ביטול</w:t>
      </w:r>
      <w:r w:rsidRPr="00531BD3">
        <w:rPr>
          <w:rtl/>
        </w:rPr>
        <w:t xml:space="preserve"> </w:t>
      </w:r>
      <w:r w:rsidRPr="00531BD3">
        <w:rPr>
          <w:rFonts w:hint="eastAsia"/>
          <w:rtl/>
        </w:rPr>
        <w:t>כתב</w:t>
      </w:r>
      <w:r w:rsidRPr="00531BD3">
        <w:rPr>
          <w:rtl/>
        </w:rPr>
        <w:t xml:space="preserve"> </w:t>
      </w:r>
      <w:r w:rsidRPr="00531BD3">
        <w:rPr>
          <w:rFonts w:hint="eastAsia"/>
          <w:rtl/>
        </w:rPr>
        <w:t>האישום</w:t>
      </w:r>
      <w:r w:rsidRPr="00531BD3">
        <w:rPr>
          <w:rFonts w:hint="cs"/>
          <w:rtl/>
        </w:rPr>
        <w:t>, כבענייננו</w:t>
      </w:r>
      <w:r w:rsidRPr="00531BD3">
        <w:rPr>
          <w:rtl/>
        </w:rPr>
        <w:t xml:space="preserve"> </w:t>
      </w:r>
      <w:r w:rsidRPr="00531BD3">
        <w:rPr>
          <w:rFonts w:hint="cs"/>
          <w:rtl/>
        </w:rPr>
        <w:t xml:space="preserve">(להבדיל מהחלטה להשהות את מתן ההחלטה בטענה מקדמית לשלב אחר של המשפט לפי הוראת סעיף 150 </w:t>
      </w:r>
      <w:proofErr w:type="spellStart"/>
      <w:r w:rsidRPr="00531BD3">
        <w:rPr>
          <w:rFonts w:hint="cs"/>
          <w:rtl/>
        </w:rPr>
        <w:t>לחסד"פ</w:t>
      </w:r>
      <w:proofErr w:type="spellEnd"/>
      <w:r w:rsidRPr="00531BD3">
        <w:rPr>
          <w:rFonts w:hint="cs"/>
          <w:rtl/>
        </w:rPr>
        <w:t xml:space="preserve">), </w:t>
      </w:r>
      <w:r w:rsidRPr="00531BD3">
        <w:rPr>
          <w:rFonts w:hint="eastAsia"/>
          <w:rtl/>
        </w:rPr>
        <w:t>צריכה</w:t>
      </w:r>
      <w:r w:rsidRPr="00531BD3">
        <w:rPr>
          <w:rtl/>
        </w:rPr>
        <w:t xml:space="preserve"> </w:t>
      </w:r>
      <w:r w:rsidRPr="00531BD3">
        <w:rPr>
          <w:rFonts w:hint="eastAsia"/>
          <w:rtl/>
        </w:rPr>
        <w:t>להינתן</w:t>
      </w:r>
      <w:r w:rsidRPr="00531BD3">
        <w:rPr>
          <w:rtl/>
        </w:rPr>
        <w:t xml:space="preserve"> </w:t>
      </w:r>
      <w:r w:rsidRPr="00531BD3">
        <w:rPr>
          <w:rFonts w:hint="eastAsia"/>
          <w:rtl/>
        </w:rPr>
        <w:t>רק</w:t>
      </w:r>
      <w:r w:rsidRPr="00531BD3">
        <w:rPr>
          <w:rtl/>
        </w:rPr>
        <w:t xml:space="preserve"> </w:t>
      </w:r>
      <w:r w:rsidRPr="00531BD3">
        <w:rPr>
          <w:rFonts w:hint="eastAsia"/>
          <w:rtl/>
        </w:rPr>
        <w:t>במקרה</w:t>
      </w:r>
      <w:r w:rsidRPr="00531BD3">
        <w:rPr>
          <w:rtl/>
        </w:rPr>
        <w:t xml:space="preserve"> </w:t>
      </w:r>
      <w:r w:rsidRPr="00531BD3">
        <w:rPr>
          <w:rFonts w:ascii="Century" w:hAnsi="Century" w:cs="Miriam" w:hint="eastAsia"/>
          <w:b/>
          <w:spacing w:val="0"/>
          <w:sz w:val="22"/>
          <w:szCs w:val="24"/>
          <w:rtl/>
        </w:rPr>
        <w:t>ברור</w:t>
      </w:r>
      <w:r w:rsidRPr="00531BD3">
        <w:rPr>
          <w:rFonts w:ascii="Century" w:hAnsi="Century" w:cs="Miriam"/>
          <w:b/>
          <w:spacing w:val="0"/>
          <w:sz w:val="22"/>
          <w:szCs w:val="24"/>
          <w:rtl/>
        </w:rPr>
        <w:t xml:space="preserve"> </w:t>
      </w:r>
      <w:r w:rsidRPr="00531BD3">
        <w:rPr>
          <w:rFonts w:ascii="Century" w:hAnsi="Century" w:cs="Miriam" w:hint="eastAsia"/>
          <w:b/>
          <w:spacing w:val="0"/>
          <w:sz w:val="22"/>
          <w:szCs w:val="24"/>
          <w:rtl/>
        </w:rPr>
        <w:t>ומובהק</w:t>
      </w:r>
      <w:r w:rsidRPr="00531BD3">
        <w:rPr>
          <w:rtl/>
        </w:rPr>
        <w:t xml:space="preserve"> </w:t>
      </w:r>
      <w:r w:rsidRPr="00531BD3">
        <w:rPr>
          <w:rFonts w:hint="eastAsia"/>
          <w:rtl/>
        </w:rPr>
        <w:t>בו</w:t>
      </w:r>
      <w:r w:rsidRPr="00531BD3">
        <w:rPr>
          <w:rtl/>
        </w:rPr>
        <w:t xml:space="preserve"> </w:t>
      </w:r>
      <w:r w:rsidRPr="00531BD3">
        <w:rPr>
          <w:rFonts w:hint="eastAsia"/>
          <w:rtl/>
        </w:rPr>
        <w:t>אין</w:t>
      </w:r>
      <w:r w:rsidRPr="00531BD3">
        <w:rPr>
          <w:rtl/>
        </w:rPr>
        <w:t xml:space="preserve"> </w:t>
      </w:r>
      <w:r w:rsidRPr="00531BD3">
        <w:rPr>
          <w:rFonts w:hint="eastAsia"/>
          <w:rtl/>
        </w:rPr>
        <w:t>היתכנות</w:t>
      </w:r>
      <w:r w:rsidRPr="00531BD3">
        <w:rPr>
          <w:rtl/>
        </w:rPr>
        <w:t xml:space="preserve"> </w:t>
      </w:r>
      <w:r w:rsidRPr="00531BD3">
        <w:rPr>
          <w:rFonts w:hint="cs"/>
          <w:rtl/>
        </w:rPr>
        <w:t xml:space="preserve">להרשעת </w:t>
      </w:r>
      <w:r w:rsidRPr="00531BD3">
        <w:rPr>
          <w:rFonts w:hint="eastAsia"/>
          <w:rtl/>
        </w:rPr>
        <w:t>הנאשם</w:t>
      </w:r>
      <w:r w:rsidRPr="00531BD3">
        <w:rPr>
          <w:rtl/>
        </w:rPr>
        <w:t xml:space="preserve"> </w:t>
      </w:r>
      <w:r w:rsidRPr="00531BD3">
        <w:rPr>
          <w:rFonts w:hint="eastAsia"/>
          <w:rtl/>
        </w:rPr>
        <w:t>בעבירה</w:t>
      </w:r>
      <w:r w:rsidRPr="00531BD3">
        <w:rPr>
          <w:rtl/>
        </w:rPr>
        <w:t xml:space="preserve"> </w:t>
      </w:r>
      <w:r w:rsidRPr="00531BD3">
        <w:rPr>
          <w:rFonts w:hint="eastAsia"/>
          <w:rtl/>
        </w:rPr>
        <w:t>המיוחסת</w:t>
      </w:r>
      <w:r w:rsidRPr="00531BD3">
        <w:rPr>
          <w:rtl/>
        </w:rPr>
        <w:t xml:space="preserve"> </w:t>
      </w:r>
      <w:r w:rsidRPr="00531BD3">
        <w:rPr>
          <w:rFonts w:hint="eastAsia"/>
          <w:rtl/>
        </w:rPr>
        <w:t>לו</w:t>
      </w:r>
      <w:r w:rsidRPr="00531BD3">
        <w:rPr>
          <w:rtl/>
        </w:rPr>
        <w:t xml:space="preserve"> </w:t>
      </w:r>
      <w:r w:rsidRPr="00531BD3">
        <w:rPr>
          <w:rFonts w:hint="cs"/>
          <w:rtl/>
        </w:rPr>
        <w:t xml:space="preserve">(ע"פ 2685/17 </w:t>
      </w:r>
      <w:r w:rsidRPr="00531BD3">
        <w:rPr>
          <w:rFonts w:ascii="Century" w:hAnsi="Century" w:cs="Miriam" w:hint="cs"/>
          <w:b/>
          <w:spacing w:val="0"/>
          <w:sz w:val="22"/>
          <w:szCs w:val="24"/>
          <w:rtl/>
        </w:rPr>
        <w:t>מדינת ישראל נ' נסים</w:t>
      </w:r>
      <w:r w:rsidRPr="00531BD3">
        <w:rPr>
          <w:rFonts w:hint="cs"/>
          <w:rtl/>
        </w:rPr>
        <w:t xml:space="preserve">, פסקה 8 (26.9.2017)). השאלה שבמוקד הדיון אינה על כן </w:t>
      </w:r>
      <w:r w:rsidRPr="00531BD3">
        <w:rPr>
          <w:rFonts w:ascii="Century" w:hAnsi="Century" w:hint="cs"/>
          <w:sz w:val="22"/>
          <w:rtl/>
        </w:rPr>
        <w:t>האם הוכחו</w:t>
      </w:r>
      <w:r w:rsidRPr="00531BD3">
        <w:rPr>
          <w:rFonts w:hint="cs"/>
          <w:rtl/>
        </w:rPr>
        <w:t xml:space="preserve"> עובדות כתב האישום, אלא האם בהנחה שעובדות כתב האישום יוכחו כולן, עובדות אלה במובהק אינן מגלות עבירה. </w:t>
      </w:r>
    </w:p>
    <w:p w:rsidR="008A4DD4" w:rsidRPr="00531BD3" w:rsidRDefault="008A4DD4" w:rsidP="008A4DD4">
      <w:pPr>
        <w:pStyle w:val="Ruller4"/>
        <w:numPr>
          <w:ilvl w:val="0"/>
          <w:numId w:val="0"/>
        </w:numPr>
        <w:rPr>
          <w:rtl/>
        </w:rPr>
      </w:pPr>
    </w:p>
    <w:p w:rsidR="008A4DD4" w:rsidRPr="00531BD3" w:rsidRDefault="008A4DD4" w:rsidP="008A4DD4">
      <w:pPr>
        <w:pStyle w:val="Ruller4"/>
        <w:numPr>
          <w:ilvl w:val="0"/>
          <w:numId w:val="0"/>
        </w:numPr>
      </w:pPr>
      <w:r w:rsidRPr="00531BD3">
        <w:rPr>
          <w:rtl/>
        </w:rPr>
        <w:tab/>
      </w:r>
      <w:r w:rsidRPr="00531BD3">
        <w:rPr>
          <w:rFonts w:hint="cs"/>
          <w:rtl/>
        </w:rPr>
        <w:t>ומכאן לגופן של הטענות.</w:t>
      </w:r>
    </w:p>
    <w:p w:rsidR="008A4DD4" w:rsidRPr="00531BD3" w:rsidRDefault="008A4DD4" w:rsidP="008A4DD4">
      <w:pPr>
        <w:pStyle w:val="Ruller4"/>
        <w:numPr>
          <w:ilvl w:val="0"/>
          <w:numId w:val="0"/>
        </w:numPr>
        <w:rPr>
          <w:rtl/>
        </w:rPr>
      </w:pPr>
    </w:p>
    <w:p w:rsidR="008A4DD4" w:rsidRPr="00531BD3" w:rsidRDefault="008A4DD4" w:rsidP="008A4DD4">
      <w:pPr>
        <w:pStyle w:val="Ruller41"/>
        <w:rPr>
          <w:rFonts w:ascii="Century" w:hAnsi="Century" w:cs="Miriam"/>
          <w:b/>
          <w:spacing w:val="0"/>
          <w:szCs w:val="24"/>
        </w:rPr>
      </w:pPr>
      <w:r w:rsidRPr="00531BD3">
        <w:rPr>
          <w:rFonts w:ascii="Century" w:hAnsi="Century" w:cs="Miriam" w:hint="cs"/>
          <w:b/>
          <w:spacing w:val="0"/>
          <w:szCs w:val="24"/>
          <w:rtl/>
        </w:rPr>
        <w:t>חובת סודיות</w:t>
      </w:r>
    </w:p>
    <w:p w:rsidR="008A4DD4" w:rsidRPr="00531BD3" w:rsidRDefault="008A4DD4" w:rsidP="008A4DD4">
      <w:pPr>
        <w:pStyle w:val="Ruller4"/>
      </w:pPr>
      <w:r w:rsidRPr="00531BD3">
        <w:rPr>
          <w:rFonts w:hint="cs"/>
          <w:rtl/>
        </w:rPr>
        <w:t xml:space="preserve">עיקר החלטתו של בית המשפט המחוזי נסוב על הקביעה כי לא הוצג מקור נורמטיבי לקיומה של חובת סודיות החולשת על עבודת הוועדות המיוחדות, ומכאן בעיקר נסללה דרכו למסקנה כי אין במעשיהם של המשיבים משום הפרה של נורמה פלילית. </w:t>
      </w:r>
    </w:p>
    <w:p w:rsidR="008A4DD4" w:rsidRPr="00531BD3" w:rsidRDefault="008A4DD4" w:rsidP="008A4DD4">
      <w:pPr>
        <w:pStyle w:val="Ruller4"/>
        <w:numPr>
          <w:ilvl w:val="0"/>
          <w:numId w:val="0"/>
        </w:numPr>
      </w:pPr>
    </w:p>
    <w:p w:rsidR="008A4DD4" w:rsidRPr="00531BD3" w:rsidRDefault="008A4DD4" w:rsidP="008A4DD4">
      <w:pPr>
        <w:pStyle w:val="Ruller4"/>
      </w:pPr>
      <w:r w:rsidRPr="00531BD3">
        <w:rPr>
          <w:rFonts w:hint="cs"/>
          <w:rtl/>
        </w:rPr>
        <w:t>אין חולק כי כתב האישום מציין כי דיוני הוועדה והפרוטוקולים שלה היו סודיים ("דיוני הוועדה והפרוטוקולים שנערכו בעקבותיהם נועדו לעיני המשתתפים בהם בלבד" (סעיף 114 לכתב האישום)). אולם בית המשפט המחוזי קבע בהחלטתו כי "אין מדובר בעובדות, אלא במסקנה של המאשימה", כאשר המערערת לא הציגה מקור נורמטיבי המאשש מסקנה זו. דעתי בעניין זה שונה.</w:t>
      </w:r>
    </w:p>
    <w:p w:rsidR="008A4DD4" w:rsidRPr="00531BD3" w:rsidRDefault="008A4DD4" w:rsidP="008A4DD4">
      <w:pPr>
        <w:pStyle w:val="Ruller4"/>
        <w:numPr>
          <w:ilvl w:val="0"/>
          <w:numId w:val="0"/>
        </w:numPr>
      </w:pPr>
    </w:p>
    <w:p w:rsidR="008A4DD4" w:rsidRPr="00531BD3" w:rsidRDefault="008A4DD4" w:rsidP="008A4DD4">
      <w:pPr>
        <w:pStyle w:val="Ruller4"/>
        <w:numPr>
          <w:ilvl w:val="0"/>
          <w:numId w:val="0"/>
        </w:numPr>
        <w:rPr>
          <w:rFonts w:ascii="Century" w:hAnsi="Century"/>
          <w:sz w:val="22"/>
          <w:rtl/>
        </w:rPr>
      </w:pPr>
      <w:r w:rsidRPr="00531BD3">
        <w:rPr>
          <w:rtl/>
        </w:rPr>
        <w:tab/>
      </w:r>
      <w:r w:rsidRPr="00531BD3">
        <w:rPr>
          <w:rFonts w:hint="eastAsia"/>
          <w:rtl/>
        </w:rPr>
        <w:t>על</w:t>
      </w:r>
      <w:r w:rsidRPr="00531BD3">
        <w:rPr>
          <w:rtl/>
        </w:rPr>
        <w:t xml:space="preserve"> </w:t>
      </w:r>
      <w:r w:rsidRPr="00531BD3">
        <w:rPr>
          <w:rFonts w:hint="eastAsia"/>
          <w:rtl/>
        </w:rPr>
        <w:t>פי</w:t>
      </w:r>
      <w:r w:rsidRPr="00531BD3">
        <w:rPr>
          <w:rtl/>
        </w:rPr>
        <w:t xml:space="preserve"> </w:t>
      </w:r>
      <w:r w:rsidRPr="00531BD3">
        <w:rPr>
          <w:rFonts w:hint="eastAsia"/>
          <w:rtl/>
        </w:rPr>
        <w:t>הוראת</w:t>
      </w:r>
      <w:r w:rsidRPr="00531BD3">
        <w:rPr>
          <w:rtl/>
        </w:rPr>
        <w:t xml:space="preserve"> </w:t>
      </w:r>
      <w:r w:rsidRPr="00531BD3">
        <w:rPr>
          <w:rFonts w:hint="eastAsia"/>
          <w:rtl/>
        </w:rPr>
        <w:t>סעיף</w:t>
      </w:r>
      <w:r w:rsidRPr="00531BD3">
        <w:rPr>
          <w:rtl/>
        </w:rPr>
        <w:t xml:space="preserve"> 85 </w:t>
      </w:r>
      <w:proofErr w:type="spellStart"/>
      <w:r w:rsidRPr="00531BD3">
        <w:rPr>
          <w:rFonts w:hint="eastAsia"/>
          <w:rtl/>
        </w:rPr>
        <w:t>לחסד</w:t>
      </w:r>
      <w:r w:rsidRPr="00531BD3">
        <w:rPr>
          <w:rtl/>
        </w:rPr>
        <w:t>"</w:t>
      </w:r>
      <w:r w:rsidRPr="00531BD3">
        <w:rPr>
          <w:rFonts w:hint="eastAsia"/>
          <w:rtl/>
        </w:rPr>
        <w:t>פ</w:t>
      </w:r>
      <w:proofErr w:type="spellEnd"/>
      <w:r w:rsidRPr="00531BD3">
        <w:rPr>
          <w:rtl/>
        </w:rPr>
        <w:t xml:space="preserve">, </w:t>
      </w:r>
      <w:r w:rsidRPr="00531BD3">
        <w:rPr>
          <w:rFonts w:hint="eastAsia"/>
          <w:rtl/>
        </w:rPr>
        <w:t>כתב</w:t>
      </w:r>
      <w:r w:rsidRPr="00531BD3">
        <w:rPr>
          <w:rtl/>
        </w:rPr>
        <w:t xml:space="preserve"> </w:t>
      </w:r>
      <w:r w:rsidRPr="00531BD3">
        <w:rPr>
          <w:rFonts w:hint="eastAsia"/>
          <w:rtl/>
        </w:rPr>
        <w:t>אישום</w:t>
      </w:r>
      <w:r w:rsidRPr="00531BD3">
        <w:rPr>
          <w:rtl/>
        </w:rPr>
        <w:t xml:space="preserve"> </w:t>
      </w:r>
      <w:r w:rsidRPr="00531BD3">
        <w:rPr>
          <w:rFonts w:hint="eastAsia"/>
          <w:rtl/>
        </w:rPr>
        <w:t>צריך</w:t>
      </w:r>
      <w:r w:rsidRPr="00531BD3">
        <w:rPr>
          <w:rtl/>
        </w:rPr>
        <w:t xml:space="preserve"> </w:t>
      </w:r>
      <w:r w:rsidRPr="00531BD3">
        <w:rPr>
          <w:rFonts w:hint="eastAsia"/>
          <w:rtl/>
        </w:rPr>
        <w:t>לכלול</w:t>
      </w:r>
      <w:r w:rsidRPr="00531BD3">
        <w:rPr>
          <w:rtl/>
        </w:rPr>
        <w:t xml:space="preserve"> </w:t>
      </w:r>
      <w:r w:rsidRPr="00531BD3">
        <w:rPr>
          <w:rFonts w:hint="eastAsia"/>
          <w:rtl/>
        </w:rPr>
        <w:t>את</w:t>
      </w:r>
      <w:r w:rsidRPr="00531BD3">
        <w:rPr>
          <w:rtl/>
        </w:rPr>
        <w:t xml:space="preserve"> "</w:t>
      </w:r>
      <w:r w:rsidRPr="00531BD3">
        <w:rPr>
          <w:rFonts w:hint="eastAsia"/>
          <w:rtl/>
        </w:rPr>
        <w:t>תיאור</w:t>
      </w:r>
      <w:r w:rsidRPr="00531BD3">
        <w:rPr>
          <w:rtl/>
        </w:rPr>
        <w:t xml:space="preserve"> </w:t>
      </w:r>
      <w:r w:rsidRPr="00531BD3">
        <w:rPr>
          <w:rFonts w:hint="eastAsia"/>
          <w:rtl/>
        </w:rPr>
        <w:t>העובדות</w:t>
      </w:r>
      <w:r w:rsidRPr="00531BD3">
        <w:rPr>
          <w:rtl/>
        </w:rPr>
        <w:t xml:space="preserve"> </w:t>
      </w:r>
      <w:r w:rsidRPr="00531BD3">
        <w:rPr>
          <w:rFonts w:hint="eastAsia"/>
          <w:rtl/>
        </w:rPr>
        <w:t>המהוות</w:t>
      </w:r>
      <w:r w:rsidRPr="00531BD3">
        <w:rPr>
          <w:rtl/>
        </w:rPr>
        <w:t xml:space="preserve"> </w:t>
      </w:r>
      <w:r w:rsidRPr="00531BD3">
        <w:rPr>
          <w:rFonts w:hint="eastAsia"/>
          <w:rtl/>
        </w:rPr>
        <w:t>את</w:t>
      </w:r>
      <w:r w:rsidRPr="00531BD3">
        <w:rPr>
          <w:rtl/>
        </w:rPr>
        <w:t xml:space="preserve"> </w:t>
      </w:r>
      <w:r w:rsidRPr="00531BD3">
        <w:rPr>
          <w:rFonts w:hint="eastAsia"/>
          <w:rtl/>
        </w:rPr>
        <w:t>העבירה</w:t>
      </w:r>
      <w:r w:rsidRPr="00531BD3">
        <w:rPr>
          <w:rtl/>
        </w:rPr>
        <w:t>".</w:t>
      </w:r>
      <w:r w:rsidRPr="00531BD3">
        <w:rPr>
          <w:rFonts w:hint="cs"/>
          <w:rtl/>
        </w:rPr>
        <w:t xml:space="preserve"> ההבחנה בין עניין שבעובדה לבין ענין שבדין אינה תמיד פשוטה, והיא במקרים רבים תלוית הקשר (</w:t>
      </w:r>
      <w:proofErr w:type="spellStart"/>
      <w:r w:rsidRPr="00531BD3">
        <w:rPr>
          <w:rFonts w:hint="eastAsia"/>
          <w:rtl/>
        </w:rPr>
        <w:t>רע</w:t>
      </w:r>
      <w:r w:rsidRPr="00531BD3">
        <w:rPr>
          <w:rFonts w:hint="cs"/>
          <w:rtl/>
        </w:rPr>
        <w:t>"</w:t>
      </w:r>
      <w:r w:rsidRPr="00531BD3">
        <w:rPr>
          <w:rFonts w:hint="eastAsia"/>
          <w:rtl/>
        </w:rPr>
        <w:t>פ</w:t>
      </w:r>
      <w:proofErr w:type="spellEnd"/>
      <w:r w:rsidRPr="00531BD3">
        <w:rPr>
          <w:rtl/>
        </w:rPr>
        <w:t xml:space="preserve"> 2220/16 ‏</w:t>
      </w:r>
      <w:r w:rsidRPr="00531BD3">
        <w:rPr>
          <w:rFonts w:ascii="Century" w:hAnsi="Century" w:cs="Miriam" w:hint="eastAsia"/>
          <w:b/>
          <w:spacing w:val="0"/>
          <w:sz w:val="22"/>
          <w:szCs w:val="24"/>
          <w:rtl/>
        </w:rPr>
        <w:t>מור</w:t>
      </w:r>
      <w:r w:rsidRPr="00531BD3">
        <w:rPr>
          <w:rFonts w:ascii="Century" w:hAnsi="Century" w:cs="Miriam"/>
          <w:b/>
          <w:spacing w:val="0"/>
          <w:sz w:val="22"/>
          <w:szCs w:val="24"/>
          <w:rtl/>
        </w:rPr>
        <w:t xml:space="preserve"> </w:t>
      </w:r>
      <w:r w:rsidRPr="00531BD3">
        <w:rPr>
          <w:rFonts w:ascii="Century" w:hAnsi="Century" w:cs="Miriam" w:hint="eastAsia"/>
          <w:b/>
          <w:spacing w:val="0"/>
          <w:sz w:val="22"/>
          <w:szCs w:val="24"/>
          <w:rtl/>
        </w:rPr>
        <w:t>יוסף</w:t>
      </w:r>
      <w:r w:rsidRPr="00531BD3">
        <w:rPr>
          <w:rFonts w:ascii="Century" w:hAnsi="Century" w:cs="Miriam"/>
          <w:b/>
          <w:spacing w:val="0"/>
          <w:sz w:val="22"/>
          <w:szCs w:val="24"/>
          <w:rtl/>
        </w:rPr>
        <w:t xml:space="preserve"> </w:t>
      </w:r>
      <w:r w:rsidRPr="00531BD3">
        <w:rPr>
          <w:rFonts w:ascii="Century" w:hAnsi="Century" w:cs="Miriam" w:hint="eastAsia"/>
          <w:b/>
          <w:spacing w:val="0"/>
          <w:sz w:val="22"/>
          <w:szCs w:val="24"/>
          <w:rtl/>
        </w:rPr>
        <w:t>נ</w:t>
      </w:r>
      <w:r w:rsidRPr="00531BD3">
        <w:rPr>
          <w:rFonts w:ascii="Century" w:hAnsi="Century" w:cs="Miriam"/>
          <w:b/>
          <w:spacing w:val="0"/>
          <w:sz w:val="22"/>
          <w:szCs w:val="24"/>
          <w:rtl/>
        </w:rPr>
        <w:t xml:space="preserve">' </w:t>
      </w:r>
      <w:r w:rsidRPr="00531BD3">
        <w:rPr>
          <w:rFonts w:ascii="Century" w:hAnsi="Century" w:cs="Miriam" w:hint="eastAsia"/>
          <w:b/>
          <w:spacing w:val="0"/>
          <w:sz w:val="22"/>
          <w:szCs w:val="24"/>
          <w:rtl/>
        </w:rPr>
        <w:t>התביעה</w:t>
      </w:r>
      <w:r w:rsidRPr="00531BD3">
        <w:rPr>
          <w:rFonts w:ascii="Century" w:hAnsi="Century" w:cs="Miriam"/>
          <w:b/>
          <w:spacing w:val="0"/>
          <w:sz w:val="22"/>
          <w:szCs w:val="24"/>
          <w:rtl/>
        </w:rPr>
        <w:t xml:space="preserve"> </w:t>
      </w:r>
      <w:r w:rsidRPr="00531BD3">
        <w:rPr>
          <w:rFonts w:ascii="Century" w:hAnsi="Century" w:cs="Miriam" w:hint="eastAsia"/>
          <w:b/>
          <w:spacing w:val="0"/>
          <w:sz w:val="22"/>
          <w:szCs w:val="24"/>
          <w:rtl/>
        </w:rPr>
        <w:t>הצבאית</w:t>
      </w:r>
      <w:r w:rsidRPr="00531BD3">
        <w:rPr>
          <w:rFonts w:ascii="Century" w:hAnsi="Century" w:cs="Miriam"/>
          <w:b/>
          <w:spacing w:val="0"/>
          <w:sz w:val="22"/>
          <w:szCs w:val="24"/>
          <w:rtl/>
        </w:rPr>
        <w:t xml:space="preserve"> </w:t>
      </w:r>
      <w:r w:rsidRPr="00531BD3">
        <w:rPr>
          <w:rFonts w:ascii="Century" w:hAnsi="Century" w:cs="Miriam" w:hint="eastAsia"/>
          <w:b/>
          <w:spacing w:val="0"/>
          <w:sz w:val="22"/>
          <w:szCs w:val="24"/>
          <w:rtl/>
        </w:rPr>
        <w:t>הראשית</w:t>
      </w:r>
      <w:r w:rsidRPr="00531BD3">
        <w:rPr>
          <w:rFonts w:hint="cs"/>
          <w:rtl/>
        </w:rPr>
        <w:t xml:space="preserve">, פסקאות 8-6 לפסק דינה של השופטת </w:t>
      </w:r>
      <w:r w:rsidRPr="00531BD3">
        <w:rPr>
          <w:rFonts w:ascii="Century" w:hAnsi="Century" w:cs="Miriam" w:hint="cs"/>
          <w:b/>
          <w:spacing w:val="0"/>
          <w:sz w:val="22"/>
          <w:szCs w:val="24"/>
          <w:rtl/>
        </w:rPr>
        <w:t>ד' ברק-ארז</w:t>
      </w:r>
      <w:r w:rsidRPr="00531BD3">
        <w:rPr>
          <w:rFonts w:hint="cs"/>
          <w:rtl/>
        </w:rPr>
        <w:t xml:space="preserve"> (26.10.2017); וראו גם: </w:t>
      </w:r>
      <w:r w:rsidRPr="00531BD3">
        <w:rPr>
          <w:rFonts w:hint="eastAsia"/>
          <w:rtl/>
        </w:rPr>
        <w:t>רע</w:t>
      </w:r>
      <w:r w:rsidRPr="00531BD3">
        <w:rPr>
          <w:rtl/>
        </w:rPr>
        <w:t>"</w:t>
      </w:r>
      <w:r w:rsidRPr="00531BD3">
        <w:rPr>
          <w:rFonts w:hint="eastAsia"/>
          <w:rtl/>
        </w:rPr>
        <w:t>א</w:t>
      </w:r>
      <w:r w:rsidRPr="00531BD3">
        <w:rPr>
          <w:rtl/>
        </w:rPr>
        <w:t xml:space="preserve"> 2904/95 </w:t>
      </w:r>
      <w:r w:rsidRPr="00531BD3">
        <w:rPr>
          <w:rFonts w:ascii="Century" w:hAnsi="Century" w:cs="Miriam" w:hint="eastAsia"/>
          <w:b/>
          <w:spacing w:val="0"/>
          <w:sz w:val="22"/>
          <w:szCs w:val="24"/>
          <w:rtl/>
        </w:rPr>
        <w:t>מדינת</w:t>
      </w:r>
      <w:r w:rsidRPr="00531BD3">
        <w:rPr>
          <w:rFonts w:ascii="Century" w:hAnsi="Century" w:cs="Miriam"/>
          <w:b/>
          <w:spacing w:val="0"/>
          <w:sz w:val="22"/>
          <w:szCs w:val="24"/>
          <w:rtl/>
        </w:rPr>
        <w:t xml:space="preserve"> </w:t>
      </w:r>
      <w:r w:rsidRPr="00531BD3">
        <w:rPr>
          <w:rFonts w:ascii="Century" w:hAnsi="Century" w:cs="Miriam" w:hint="eastAsia"/>
          <w:b/>
          <w:spacing w:val="0"/>
          <w:sz w:val="22"/>
          <w:szCs w:val="24"/>
          <w:rtl/>
        </w:rPr>
        <w:t>ישראל</w:t>
      </w:r>
      <w:r w:rsidRPr="00531BD3">
        <w:rPr>
          <w:rFonts w:ascii="Century" w:hAnsi="Century" w:cs="Miriam"/>
          <w:b/>
          <w:spacing w:val="0"/>
          <w:sz w:val="22"/>
          <w:szCs w:val="24"/>
          <w:rtl/>
        </w:rPr>
        <w:t xml:space="preserve"> </w:t>
      </w:r>
      <w:r w:rsidRPr="00531BD3">
        <w:rPr>
          <w:rFonts w:ascii="Century" w:hAnsi="Century" w:cs="Miriam" w:hint="eastAsia"/>
          <w:b/>
          <w:spacing w:val="0"/>
          <w:sz w:val="22"/>
          <w:szCs w:val="24"/>
          <w:rtl/>
        </w:rPr>
        <w:t>נ</w:t>
      </w:r>
      <w:r w:rsidRPr="00531BD3">
        <w:rPr>
          <w:rFonts w:ascii="Century" w:hAnsi="Century" w:cs="Miriam"/>
          <w:b/>
          <w:spacing w:val="0"/>
          <w:sz w:val="22"/>
          <w:szCs w:val="24"/>
          <w:rtl/>
        </w:rPr>
        <w:t xml:space="preserve">' </w:t>
      </w:r>
      <w:r w:rsidRPr="00531BD3">
        <w:rPr>
          <w:rFonts w:ascii="Century" w:hAnsi="Century" w:cs="Miriam" w:hint="eastAsia"/>
          <w:b/>
          <w:spacing w:val="0"/>
          <w:sz w:val="22"/>
          <w:szCs w:val="24"/>
          <w:rtl/>
        </w:rPr>
        <w:t>אל</w:t>
      </w:r>
      <w:r w:rsidRPr="00531BD3">
        <w:rPr>
          <w:rFonts w:ascii="Century" w:hAnsi="Century" w:cs="Miriam"/>
          <w:b/>
          <w:spacing w:val="0"/>
          <w:sz w:val="22"/>
          <w:szCs w:val="24"/>
          <w:rtl/>
        </w:rPr>
        <w:t xml:space="preserve"> </w:t>
      </w:r>
      <w:proofErr w:type="spellStart"/>
      <w:r w:rsidRPr="00531BD3">
        <w:rPr>
          <w:rFonts w:ascii="Century" w:hAnsi="Century" w:cs="Miriam" w:hint="eastAsia"/>
          <w:b/>
          <w:spacing w:val="0"/>
          <w:sz w:val="22"/>
          <w:szCs w:val="24"/>
          <w:rtl/>
        </w:rPr>
        <w:t>הוזייל</w:t>
      </w:r>
      <w:proofErr w:type="spellEnd"/>
      <w:r w:rsidRPr="00531BD3">
        <w:rPr>
          <w:rtl/>
        </w:rPr>
        <w:t xml:space="preserve">, </w:t>
      </w:r>
      <w:r w:rsidRPr="00531BD3">
        <w:rPr>
          <w:rFonts w:hint="eastAsia"/>
          <w:rtl/>
        </w:rPr>
        <w:t>פ</w:t>
      </w:r>
      <w:r w:rsidRPr="00531BD3">
        <w:rPr>
          <w:rtl/>
        </w:rPr>
        <w:t>"</w:t>
      </w:r>
      <w:r w:rsidRPr="00531BD3">
        <w:rPr>
          <w:rFonts w:hint="eastAsia"/>
          <w:rtl/>
        </w:rPr>
        <w:t>ד</w:t>
      </w:r>
      <w:r w:rsidRPr="00531BD3">
        <w:rPr>
          <w:rtl/>
        </w:rPr>
        <w:t xml:space="preserve"> </w:t>
      </w:r>
      <w:r w:rsidRPr="00531BD3">
        <w:rPr>
          <w:rFonts w:hint="eastAsia"/>
          <w:rtl/>
        </w:rPr>
        <w:t>מט</w:t>
      </w:r>
      <w:r w:rsidRPr="00531BD3">
        <w:rPr>
          <w:rtl/>
        </w:rPr>
        <w:t>(2) 40</w:t>
      </w:r>
      <w:r w:rsidRPr="00531BD3">
        <w:rPr>
          <w:rFonts w:hint="cs"/>
          <w:rtl/>
        </w:rPr>
        <w:t>, 42</w:t>
      </w:r>
      <w:r w:rsidRPr="00531BD3">
        <w:rPr>
          <w:rtl/>
        </w:rPr>
        <w:t xml:space="preserve"> (1995)</w:t>
      </w:r>
      <w:r w:rsidRPr="00531BD3">
        <w:rPr>
          <w:rFonts w:hint="cs"/>
          <w:rtl/>
        </w:rPr>
        <w:t xml:space="preserve">; </w:t>
      </w:r>
      <w:r w:rsidRPr="00531BD3">
        <w:rPr>
          <w:rFonts w:ascii="FrankRuehl" w:hAnsi="FrankRuehl"/>
          <w:color w:val="000000"/>
          <w:sz w:val="28"/>
          <w:rtl/>
        </w:rPr>
        <w:t>מ</w:t>
      </w:r>
      <w:r w:rsidRPr="00531BD3">
        <w:rPr>
          <w:rFonts w:ascii="FrankRuehl" w:hAnsi="FrankRuehl" w:hint="cs"/>
          <w:color w:val="000000"/>
          <w:sz w:val="28"/>
          <w:rtl/>
        </w:rPr>
        <w:t>"</w:t>
      </w:r>
      <w:r w:rsidRPr="00531BD3">
        <w:rPr>
          <w:rFonts w:ascii="FrankRuehl" w:hAnsi="FrankRuehl"/>
          <w:color w:val="000000"/>
          <w:sz w:val="28"/>
          <w:rtl/>
        </w:rPr>
        <w:t>ח 8390/01‏</w:t>
      </w:r>
      <w:r w:rsidRPr="00531BD3">
        <w:rPr>
          <w:rFonts w:ascii="FrankRuehl" w:hAnsi="FrankRuehl" w:hint="cs"/>
          <w:color w:val="000000"/>
          <w:sz w:val="28"/>
          <w:rtl/>
        </w:rPr>
        <w:t xml:space="preserve"> </w:t>
      </w:r>
      <w:proofErr w:type="spellStart"/>
      <w:r w:rsidRPr="00531BD3">
        <w:rPr>
          <w:rFonts w:ascii="Century" w:hAnsi="Century" w:cs="Miriam"/>
          <w:b/>
          <w:spacing w:val="0"/>
          <w:sz w:val="22"/>
          <w:szCs w:val="24"/>
          <w:rtl/>
        </w:rPr>
        <w:t>אקסלרוד</w:t>
      </w:r>
      <w:proofErr w:type="spellEnd"/>
      <w:r w:rsidRPr="00531BD3">
        <w:rPr>
          <w:rFonts w:ascii="Century" w:hAnsi="Century" w:cs="Miriam"/>
          <w:b/>
          <w:spacing w:val="0"/>
          <w:sz w:val="22"/>
          <w:szCs w:val="24"/>
          <w:rtl/>
        </w:rPr>
        <w:t xml:space="preserve"> נ' מדינת ישראל</w:t>
      </w:r>
      <w:r w:rsidRPr="00531BD3">
        <w:rPr>
          <w:rFonts w:ascii="FrankRuehl" w:hAnsi="FrankRuehl" w:hint="cs"/>
          <w:color w:val="000000"/>
          <w:sz w:val="28"/>
          <w:rtl/>
        </w:rPr>
        <w:t>, פ"ד ס(2) 607, 614 (2006)</w:t>
      </w:r>
      <w:r w:rsidRPr="00531BD3">
        <w:rPr>
          <w:rFonts w:hint="cs"/>
          <w:rtl/>
        </w:rPr>
        <w:t>). כך גם השאלה אם במקרה זה הופר מצג של סודיות ביחס לדיוני הוועדה</w:t>
      </w:r>
      <w:r>
        <w:rPr>
          <w:rFonts w:hint="cs"/>
          <w:rtl/>
        </w:rPr>
        <w:t>,</w:t>
      </w:r>
      <w:r w:rsidRPr="00531BD3">
        <w:rPr>
          <w:rFonts w:hint="cs"/>
          <w:rtl/>
        </w:rPr>
        <w:t xml:space="preserve"> היא שאלה אשר התשובה לה יכולה לכלול היבטים נורמטיביים ועובדתיים כאחד. המערערת אינה חולקת על כך שאין בנמצא מקור משפטי המעגן באופן ברור וישיר חובת סודיות החולשת על דיוני הוועדות המיוחדות. היא טוענת כי כתב האישום מפרט את העובדות המקימות חובת סודיות בעניינן של שתי הוועדות, ולצד זאת מפרטת את ההנמקה הנורמטיבית המבססת את אותה חובת סודיות, בהינתן המנגנונים שנקבעו בדין לגבי התקשרות עם עסקאות בעלי עניין ובהינתן טיבו של מוסד הוועדה המיוחדת בכללותו. ואכן, בניגוד לטענה כי בכתב האישום לא מפורטת כל </w:t>
      </w:r>
      <w:r w:rsidRPr="00531BD3">
        <w:rPr>
          <w:rFonts w:ascii="Century" w:hAnsi="Century" w:hint="eastAsia"/>
          <w:sz w:val="22"/>
          <w:rtl/>
        </w:rPr>
        <w:t>עובדה</w:t>
      </w:r>
      <w:r w:rsidRPr="00531BD3">
        <w:rPr>
          <w:rFonts w:hint="cs"/>
          <w:rtl/>
        </w:rPr>
        <w:t xml:space="preserve"> המבססת את חובת הסודיות הנטענת על ידי המערערת (פסקה 38 לפסק דינו של בית המשפט המחוזי), הרי שכתב האישום מפרט שורה של עובדות בקשר למצג הסודיות ביחס לדיוני הוועדה, ומציין כי מידור בעלי העניין היה הכרחי כפועל יוצא "</w:t>
      </w:r>
      <w:r w:rsidRPr="00531BD3">
        <w:rPr>
          <w:rFonts w:ascii="Century" w:hAnsi="Century" w:hint="eastAsia"/>
          <w:sz w:val="22"/>
          <w:rtl/>
        </w:rPr>
        <w:t>מאופייה</w:t>
      </w:r>
      <w:r w:rsidRPr="00531BD3">
        <w:rPr>
          <w:rFonts w:ascii="Century" w:hAnsi="Century"/>
          <w:sz w:val="22"/>
          <w:rtl/>
        </w:rPr>
        <w:t xml:space="preserve"> </w:t>
      </w:r>
      <w:r w:rsidRPr="00531BD3">
        <w:rPr>
          <w:rFonts w:ascii="Century" w:hAnsi="Century" w:hint="eastAsia"/>
          <w:sz w:val="22"/>
          <w:rtl/>
        </w:rPr>
        <w:t>ותכליתה</w:t>
      </w:r>
      <w:r w:rsidRPr="00531BD3">
        <w:rPr>
          <w:rFonts w:ascii="Century" w:hAnsi="Century" w:hint="cs"/>
          <w:sz w:val="22"/>
          <w:rtl/>
        </w:rPr>
        <w:t>"</w:t>
      </w:r>
      <w:r w:rsidRPr="00531BD3">
        <w:rPr>
          <w:rFonts w:ascii="Century" w:hAnsi="Century"/>
          <w:sz w:val="22"/>
          <w:rtl/>
        </w:rPr>
        <w:t xml:space="preserve"> </w:t>
      </w:r>
      <w:r w:rsidRPr="00531BD3">
        <w:rPr>
          <w:rFonts w:ascii="Century" w:hAnsi="Century" w:hint="eastAsia"/>
          <w:sz w:val="22"/>
          <w:rtl/>
        </w:rPr>
        <w:t>של</w:t>
      </w:r>
      <w:r w:rsidRPr="00531BD3">
        <w:rPr>
          <w:rFonts w:ascii="Century" w:hAnsi="Century"/>
          <w:sz w:val="22"/>
          <w:rtl/>
        </w:rPr>
        <w:t xml:space="preserve"> </w:t>
      </w:r>
      <w:r w:rsidRPr="00531BD3">
        <w:rPr>
          <w:rFonts w:ascii="Century" w:hAnsi="Century" w:hint="eastAsia"/>
          <w:sz w:val="22"/>
          <w:rtl/>
        </w:rPr>
        <w:t>הוועדה</w:t>
      </w:r>
      <w:r w:rsidRPr="00531BD3">
        <w:rPr>
          <w:rFonts w:hint="cs"/>
          <w:rtl/>
        </w:rPr>
        <w:t>, "כגוף שנועד להפעיל שיקול דעת עצמאי</w:t>
      </w:r>
      <w:r w:rsidRPr="00531BD3">
        <w:rPr>
          <w:rtl/>
        </w:rPr>
        <w:t xml:space="preserve"> </w:t>
      </w:r>
      <w:r w:rsidRPr="00531BD3">
        <w:rPr>
          <w:rFonts w:hint="cs"/>
          <w:rtl/>
        </w:rPr>
        <w:t xml:space="preserve">ולדמות הליך תחרותי ובלתי תלוי". נוכח דברים אלה, מציין כתב האישום כי בעלי העניין האישי כלל לא היו אמורים להיחשף לדיוני הוועדה ולחומרים שהוצגו בה (לגבי עסקת בזק-יס: סעיף </w:t>
      </w:r>
      <w:r w:rsidRPr="00531BD3">
        <w:rPr>
          <w:rFonts w:hint="cs"/>
          <w:rtl/>
        </w:rPr>
        <w:lastRenderedPageBreak/>
        <w:t xml:space="preserve">116 לכתב האישום; לגבי עסקת יס-חלל: סעיף 150 לכתב האישום; ולגבי שתי העסקאות </w:t>
      </w:r>
      <w:r>
        <w:rPr>
          <w:rFonts w:hint="cs"/>
          <w:rtl/>
        </w:rPr>
        <w:t>יחד: סעיף 103 לכתב האישום)</w:t>
      </w:r>
      <w:r w:rsidRPr="00531BD3">
        <w:rPr>
          <w:rFonts w:hint="cs"/>
          <w:rtl/>
        </w:rPr>
        <w:t xml:space="preserve">. מעבר לכך, צודקת המערערת כי לא נדרש ממנה לפרט בכתב האישום את </w:t>
      </w:r>
      <w:r w:rsidRPr="00531BD3">
        <w:rPr>
          <w:rFonts w:ascii="Century" w:hAnsi="Century" w:cs="Miriam" w:hint="cs"/>
          <w:b/>
          <w:spacing w:val="0"/>
          <w:sz w:val="22"/>
          <w:szCs w:val="24"/>
          <w:rtl/>
        </w:rPr>
        <w:t>הראיות</w:t>
      </w:r>
      <w:r w:rsidRPr="00531BD3">
        <w:rPr>
          <w:rFonts w:hint="cs"/>
          <w:rtl/>
        </w:rPr>
        <w:t xml:space="preserve"> השונות שנאספו בתיק החקירה אשר לשיטתה מוכיחות את העובדות המפורטות בו, לרבות אלה שמהן נובעת חובת הסודיות</w:t>
      </w:r>
      <w:r w:rsidRPr="00531BD3">
        <w:rPr>
          <w:rFonts w:ascii="Century" w:hAnsi="Century" w:hint="cs"/>
          <w:sz w:val="22"/>
          <w:rtl/>
        </w:rPr>
        <w:t>. סיפור המעשה חייב לשקף את מרכיבי העבירה המיוחסת לנאשם, אולם עליו להתמקד בעובדות הרלוונטיות להרשעה ולא בהצגת הראיות מכוחן תבקש התביעה לקבוע שאותן עובדות אכן התקיימו (</w:t>
      </w:r>
      <w:r w:rsidRPr="00531BD3">
        <w:rPr>
          <w:rFonts w:ascii="Century" w:hAnsi="Century" w:cs="Miriam" w:hint="eastAsia"/>
          <w:b/>
          <w:spacing w:val="0"/>
          <w:sz w:val="22"/>
          <w:szCs w:val="24"/>
          <w:rtl/>
        </w:rPr>
        <w:t>קדמי</w:t>
      </w:r>
      <w:r w:rsidRPr="00531BD3">
        <w:rPr>
          <w:rFonts w:ascii="Century" w:hAnsi="Century"/>
          <w:sz w:val="22"/>
          <w:rtl/>
        </w:rPr>
        <w:t xml:space="preserve">, </w:t>
      </w:r>
      <w:r w:rsidRPr="00531BD3">
        <w:rPr>
          <w:rFonts w:ascii="Century" w:hAnsi="Century" w:hint="eastAsia"/>
          <w:sz w:val="22"/>
          <w:rtl/>
        </w:rPr>
        <w:t>עמ</w:t>
      </w:r>
      <w:r w:rsidRPr="00531BD3">
        <w:rPr>
          <w:rFonts w:ascii="Century" w:hAnsi="Century"/>
          <w:sz w:val="22"/>
          <w:rtl/>
        </w:rPr>
        <w:t>' 915)</w:t>
      </w:r>
      <w:r w:rsidRPr="00531BD3">
        <w:rPr>
          <w:rFonts w:ascii="Century" w:hAnsi="Century" w:hint="cs"/>
          <w:sz w:val="22"/>
          <w:rtl/>
        </w:rPr>
        <w:t xml:space="preserve">). </w:t>
      </w:r>
    </w:p>
    <w:p w:rsidR="008A4DD4" w:rsidRPr="00531BD3" w:rsidRDefault="008A4DD4" w:rsidP="008A4DD4">
      <w:pPr>
        <w:pStyle w:val="Ruller41"/>
      </w:pPr>
    </w:p>
    <w:p w:rsidR="008A4DD4" w:rsidRPr="00531BD3" w:rsidRDefault="008A4DD4" w:rsidP="008A4DD4">
      <w:pPr>
        <w:pStyle w:val="Ruller4"/>
        <w:numPr>
          <w:ilvl w:val="0"/>
          <w:numId w:val="0"/>
        </w:numPr>
        <w:rPr>
          <w:b/>
          <w:bCs/>
          <w:rtl/>
        </w:rPr>
      </w:pPr>
      <w:r w:rsidRPr="00531BD3">
        <w:rPr>
          <w:rtl/>
        </w:rPr>
        <w:tab/>
      </w:r>
      <w:r w:rsidRPr="00531BD3">
        <w:rPr>
          <w:rFonts w:hint="cs"/>
          <w:rtl/>
        </w:rPr>
        <w:t>נעבור אפוא לבחינת העובדות המפורטות בכתב האישום לעניין מצג הסודיות. אך תחילה למנגנוני האישור השונים הנדרשים בקשר לעסקאות בעלי עניין במישור האזרחי.</w:t>
      </w:r>
    </w:p>
    <w:p w:rsidR="008A4DD4" w:rsidRPr="00531BD3" w:rsidRDefault="008A4DD4" w:rsidP="008A4DD4">
      <w:pPr>
        <w:pStyle w:val="Ruller41"/>
        <w:rPr>
          <w:rtl/>
        </w:rPr>
      </w:pPr>
    </w:p>
    <w:p w:rsidR="008A4DD4" w:rsidRPr="00531BD3" w:rsidRDefault="008A4DD4" w:rsidP="008A4DD4">
      <w:pPr>
        <w:pStyle w:val="Ruller41"/>
        <w:rPr>
          <w:rFonts w:ascii="Century" w:hAnsi="Century" w:cs="Miriam"/>
          <w:b/>
          <w:spacing w:val="0"/>
          <w:szCs w:val="24"/>
          <w:rtl/>
        </w:rPr>
      </w:pPr>
      <w:r w:rsidRPr="00531BD3">
        <w:rPr>
          <w:rFonts w:ascii="Century" w:hAnsi="Century" w:cs="Miriam" w:hint="cs"/>
          <w:b/>
          <w:spacing w:val="0"/>
          <w:szCs w:val="24"/>
          <w:rtl/>
        </w:rPr>
        <w:t xml:space="preserve">עסקאות עם בעלי עניין אישי </w:t>
      </w:r>
      <w:r w:rsidRPr="00531BD3">
        <w:rPr>
          <w:rFonts w:ascii="Century" w:hAnsi="Century" w:cs="Miriam"/>
          <w:b/>
          <w:spacing w:val="0"/>
          <w:szCs w:val="24"/>
          <w:rtl/>
        </w:rPr>
        <w:t>–</w:t>
      </w:r>
      <w:r w:rsidRPr="00531BD3">
        <w:rPr>
          <w:rFonts w:ascii="Century" w:hAnsi="Century" w:cs="Miriam" w:hint="cs"/>
          <w:b/>
          <w:spacing w:val="0"/>
          <w:szCs w:val="24"/>
          <w:rtl/>
        </w:rPr>
        <w:t xml:space="preserve"> כללי </w:t>
      </w:r>
    </w:p>
    <w:p w:rsidR="008A4DD4" w:rsidRPr="00531BD3" w:rsidRDefault="008A4DD4" w:rsidP="008A4DD4">
      <w:pPr>
        <w:pStyle w:val="Ruller4"/>
        <w:rPr>
          <w:b/>
          <w:bCs/>
          <w:rtl/>
        </w:rPr>
      </w:pPr>
      <w:r w:rsidRPr="00531BD3">
        <w:rPr>
          <w:rFonts w:hint="cs"/>
          <w:rtl/>
        </w:rPr>
        <w:t>במישור האזרחי, חוק החברות קובע בפרק החמישי לחלק השישי שבו, הוראות מיוחדות לאישור עסקאות בעלי עניין כגון עסקאות בהן חברה מתקשרת עם נושא משרה או עם בעל שליטה בה, או עסקאות אשר לגורמים אלה יש עניין אישי בהן. הוראות אלו מהוות חלק ממכלול של הוראות שנועדו להתמודד עם "בעיית הנציג". בעסקאות מסוג זה נושאי המשרה ובעלי השליטה פועלים ב"שני כובעים", ולא אחת האינטרס האישי שלהם אינו עולה בקנה אחד עם אינטרס החברה (ראו למשל: ע"</w:t>
      </w:r>
      <w:r w:rsidRPr="00531BD3">
        <w:rPr>
          <w:rFonts w:hint="eastAsia"/>
          <w:rtl/>
        </w:rPr>
        <w:t>א</w:t>
      </w:r>
      <w:r w:rsidRPr="00531BD3">
        <w:rPr>
          <w:rtl/>
        </w:rPr>
        <w:t xml:space="preserve"> 7594/16 </w:t>
      </w:r>
      <w:r w:rsidRPr="00531BD3">
        <w:rPr>
          <w:rFonts w:ascii="Century" w:hAnsi="Century" w:cs="Miriam" w:hint="eastAsia"/>
          <w:b/>
          <w:spacing w:val="0"/>
          <w:szCs w:val="24"/>
          <w:rtl/>
        </w:rPr>
        <w:t>עו</w:t>
      </w:r>
      <w:r w:rsidRPr="00531BD3">
        <w:rPr>
          <w:rFonts w:ascii="Century" w:hAnsi="Century" w:cs="Miriam"/>
          <w:b/>
          <w:spacing w:val="0"/>
          <w:szCs w:val="24"/>
          <w:rtl/>
        </w:rPr>
        <w:t>"</w:t>
      </w:r>
      <w:r w:rsidRPr="00531BD3">
        <w:rPr>
          <w:rFonts w:ascii="Century" w:hAnsi="Century" w:cs="Miriam" w:hint="eastAsia"/>
          <w:b/>
          <w:spacing w:val="0"/>
          <w:szCs w:val="24"/>
          <w:rtl/>
        </w:rPr>
        <w:t>ד</w:t>
      </w:r>
      <w:r w:rsidRPr="00531BD3">
        <w:rPr>
          <w:rFonts w:ascii="Century" w:hAnsi="Century" w:cs="Miriam"/>
          <w:b/>
          <w:spacing w:val="0"/>
          <w:szCs w:val="24"/>
          <w:rtl/>
        </w:rPr>
        <w:t xml:space="preserve"> </w:t>
      </w:r>
      <w:r w:rsidRPr="00531BD3">
        <w:rPr>
          <w:rFonts w:ascii="Century" w:hAnsi="Century" w:cs="Miriam" w:hint="eastAsia"/>
          <w:b/>
          <w:spacing w:val="0"/>
          <w:szCs w:val="24"/>
          <w:rtl/>
        </w:rPr>
        <w:t>יצחק</w:t>
      </w:r>
      <w:r w:rsidRPr="00531BD3">
        <w:rPr>
          <w:rFonts w:ascii="Century" w:hAnsi="Century" w:cs="Miriam"/>
          <w:b/>
          <w:spacing w:val="0"/>
          <w:szCs w:val="24"/>
          <w:rtl/>
        </w:rPr>
        <w:t xml:space="preserve"> </w:t>
      </w:r>
      <w:r w:rsidRPr="00531BD3">
        <w:rPr>
          <w:rFonts w:ascii="Century" w:hAnsi="Century" w:cs="Miriam" w:hint="eastAsia"/>
          <w:b/>
          <w:spacing w:val="0"/>
          <w:szCs w:val="24"/>
          <w:rtl/>
        </w:rPr>
        <w:t>מולכו</w:t>
      </w:r>
      <w:r w:rsidRPr="00531BD3">
        <w:rPr>
          <w:rFonts w:ascii="Century" w:hAnsi="Century" w:cs="Miriam"/>
          <w:b/>
          <w:spacing w:val="0"/>
          <w:szCs w:val="24"/>
          <w:rtl/>
        </w:rPr>
        <w:t xml:space="preserve">, </w:t>
      </w:r>
      <w:r w:rsidRPr="00531BD3">
        <w:rPr>
          <w:rFonts w:ascii="Century" w:hAnsi="Century" w:cs="Miriam" w:hint="eastAsia"/>
          <w:b/>
          <w:spacing w:val="0"/>
          <w:szCs w:val="24"/>
          <w:rtl/>
        </w:rPr>
        <w:t>המנהל</w:t>
      </w:r>
      <w:r w:rsidRPr="00531BD3">
        <w:rPr>
          <w:rFonts w:ascii="Century" w:hAnsi="Century" w:cs="Miriam"/>
          <w:b/>
          <w:spacing w:val="0"/>
          <w:szCs w:val="24"/>
          <w:rtl/>
        </w:rPr>
        <w:t xml:space="preserve"> </w:t>
      </w:r>
      <w:r w:rsidRPr="00531BD3">
        <w:rPr>
          <w:rFonts w:ascii="Century" w:hAnsi="Century" w:cs="Miriam" w:hint="eastAsia"/>
          <w:b/>
          <w:spacing w:val="0"/>
          <w:szCs w:val="24"/>
          <w:rtl/>
        </w:rPr>
        <w:t>המיוחד</w:t>
      </w:r>
      <w:r w:rsidRPr="00531BD3">
        <w:rPr>
          <w:rFonts w:ascii="Century" w:hAnsi="Century" w:cs="Miriam"/>
          <w:b/>
          <w:spacing w:val="0"/>
          <w:szCs w:val="24"/>
          <w:rtl/>
        </w:rPr>
        <w:t xml:space="preserve"> </w:t>
      </w:r>
      <w:r w:rsidRPr="00531BD3">
        <w:rPr>
          <w:rFonts w:ascii="Century" w:hAnsi="Century" w:cs="Miriam" w:hint="eastAsia"/>
          <w:b/>
          <w:spacing w:val="0"/>
          <w:szCs w:val="24"/>
          <w:rtl/>
        </w:rPr>
        <w:t>נ</w:t>
      </w:r>
      <w:r w:rsidRPr="00531BD3">
        <w:rPr>
          <w:rFonts w:ascii="Century" w:hAnsi="Century" w:cs="Miriam"/>
          <w:b/>
          <w:spacing w:val="0"/>
          <w:szCs w:val="24"/>
          <w:rtl/>
        </w:rPr>
        <w:t xml:space="preserve">' </w:t>
      </w:r>
      <w:r w:rsidRPr="00531BD3">
        <w:rPr>
          <w:rFonts w:ascii="Century" w:hAnsi="Century" w:cs="Miriam" w:hint="eastAsia"/>
          <w:b/>
          <w:spacing w:val="0"/>
          <w:szCs w:val="24"/>
          <w:rtl/>
        </w:rPr>
        <w:t>בנק</w:t>
      </w:r>
      <w:r w:rsidRPr="00531BD3">
        <w:rPr>
          <w:rFonts w:ascii="Century" w:hAnsi="Century" w:cs="Miriam"/>
          <w:b/>
          <w:spacing w:val="0"/>
          <w:szCs w:val="24"/>
          <w:rtl/>
        </w:rPr>
        <w:t xml:space="preserve"> </w:t>
      </w:r>
      <w:r w:rsidRPr="00531BD3">
        <w:rPr>
          <w:rFonts w:ascii="Century" w:hAnsi="Century" w:cs="Miriam" w:hint="eastAsia"/>
          <w:b/>
          <w:spacing w:val="0"/>
          <w:szCs w:val="24"/>
          <w:rtl/>
        </w:rPr>
        <w:t>מזרחי</w:t>
      </w:r>
      <w:r w:rsidRPr="00531BD3">
        <w:rPr>
          <w:rFonts w:ascii="Century" w:hAnsi="Century" w:cs="Miriam"/>
          <w:b/>
          <w:spacing w:val="0"/>
          <w:szCs w:val="24"/>
          <w:rtl/>
        </w:rPr>
        <w:t xml:space="preserve"> </w:t>
      </w:r>
      <w:r w:rsidRPr="00531BD3">
        <w:rPr>
          <w:rFonts w:ascii="Century" w:hAnsi="Century" w:cs="Miriam" w:hint="eastAsia"/>
          <w:b/>
          <w:spacing w:val="0"/>
          <w:szCs w:val="24"/>
          <w:rtl/>
        </w:rPr>
        <w:t>טפחות</w:t>
      </w:r>
      <w:r w:rsidRPr="00531BD3">
        <w:rPr>
          <w:rFonts w:ascii="Century" w:hAnsi="Century" w:cs="Miriam"/>
          <w:b/>
          <w:spacing w:val="0"/>
          <w:szCs w:val="24"/>
          <w:rtl/>
        </w:rPr>
        <w:t xml:space="preserve"> </w:t>
      </w:r>
      <w:r w:rsidRPr="00531BD3">
        <w:rPr>
          <w:rFonts w:ascii="Century" w:hAnsi="Century" w:cs="Miriam" w:hint="eastAsia"/>
          <w:b/>
          <w:spacing w:val="0"/>
          <w:szCs w:val="24"/>
          <w:rtl/>
        </w:rPr>
        <w:t>בע</w:t>
      </w:r>
      <w:r w:rsidRPr="00531BD3">
        <w:rPr>
          <w:rFonts w:ascii="Century" w:hAnsi="Century" w:cs="Miriam"/>
          <w:b/>
          <w:spacing w:val="0"/>
          <w:szCs w:val="24"/>
          <w:rtl/>
        </w:rPr>
        <w:t>"</w:t>
      </w:r>
      <w:r w:rsidRPr="00531BD3">
        <w:rPr>
          <w:rFonts w:ascii="Century" w:hAnsi="Century" w:cs="Miriam" w:hint="eastAsia"/>
          <w:b/>
          <w:spacing w:val="0"/>
          <w:szCs w:val="24"/>
          <w:rtl/>
        </w:rPr>
        <w:t>מ</w:t>
      </w:r>
      <w:r w:rsidRPr="00531BD3">
        <w:rPr>
          <w:rFonts w:hint="cs"/>
          <w:rtl/>
        </w:rPr>
        <w:t xml:space="preserve">, פסקה 5 (25.3.2021) (להלן: עניין </w:t>
      </w:r>
      <w:r w:rsidRPr="00531BD3">
        <w:rPr>
          <w:rFonts w:ascii="Century" w:hAnsi="Century" w:cs="Miriam" w:hint="cs"/>
          <w:b/>
          <w:spacing w:val="0"/>
          <w:szCs w:val="24"/>
          <w:rtl/>
        </w:rPr>
        <w:t>בנק מזרחי</w:t>
      </w:r>
      <w:r w:rsidRPr="00531BD3">
        <w:rPr>
          <w:rtl/>
        </w:rPr>
        <w:t>)</w:t>
      </w:r>
      <w:r w:rsidRPr="00531BD3">
        <w:rPr>
          <w:rFonts w:hint="cs"/>
          <w:rtl/>
        </w:rPr>
        <w:t xml:space="preserve">; </w:t>
      </w:r>
      <w:r w:rsidRPr="00531BD3">
        <w:rPr>
          <w:rFonts w:hint="eastAsia"/>
          <w:rtl/>
        </w:rPr>
        <w:t>יוסף</w:t>
      </w:r>
      <w:r w:rsidRPr="00531BD3">
        <w:rPr>
          <w:rtl/>
        </w:rPr>
        <w:t xml:space="preserve"> </w:t>
      </w:r>
      <w:r w:rsidRPr="00531BD3">
        <w:rPr>
          <w:rFonts w:hint="eastAsia"/>
          <w:rtl/>
        </w:rPr>
        <w:t>גרוס</w:t>
      </w:r>
      <w:r w:rsidRPr="00531BD3">
        <w:rPr>
          <w:rtl/>
        </w:rPr>
        <w:t xml:space="preserve"> </w:t>
      </w:r>
      <w:r w:rsidRPr="00531BD3">
        <w:rPr>
          <w:rFonts w:ascii="Century" w:hAnsi="Century" w:cs="Miriam" w:hint="eastAsia"/>
          <w:spacing w:val="0"/>
          <w:szCs w:val="24"/>
          <w:rtl/>
        </w:rPr>
        <w:t>דירקטורים</w:t>
      </w:r>
      <w:r w:rsidRPr="00531BD3">
        <w:rPr>
          <w:rFonts w:ascii="Century" w:hAnsi="Century" w:cs="Miriam"/>
          <w:spacing w:val="0"/>
          <w:szCs w:val="24"/>
          <w:rtl/>
        </w:rPr>
        <w:t xml:space="preserve"> </w:t>
      </w:r>
      <w:r w:rsidRPr="00531BD3">
        <w:rPr>
          <w:rFonts w:ascii="Century" w:hAnsi="Century" w:cs="Miriam" w:hint="eastAsia"/>
          <w:spacing w:val="0"/>
          <w:szCs w:val="24"/>
          <w:rtl/>
        </w:rPr>
        <w:t>ונושאי</w:t>
      </w:r>
      <w:r w:rsidRPr="00531BD3">
        <w:rPr>
          <w:rFonts w:ascii="Century" w:hAnsi="Century" w:cs="Miriam"/>
          <w:spacing w:val="0"/>
          <w:szCs w:val="24"/>
          <w:rtl/>
        </w:rPr>
        <w:t xml:space="preserve"> </w:t>
      </w:r>
      <w:r w:rsidRPr="00531BD3">
        <w:rPr>
          <w:rFonts w:ascii="Century" w:hAnsi="Century" w:cs="Miriam" w:hint="eastAsia"/>
          <w:spacing w:val="0"/>
          <w:szCs w:val="24"/>
          <w:rtl/>
        </w:rPr>
        <w:t>משרה</w:t>
      </w:r>
      <w:r w:rsidRPr="00531BD3">
        <w:rPr>
          <w:rFonts w:ascii="Century" w:hAnsi="Century" w:cs="Miriam"/>
          <w:spacing w:val="0"/>
          <w:szCs w:val="24"/>
          <w:rtl/>
        </w:rPr>
        <w:t xml:space="preserve"> </w:t>
      </w:r>
      <w:r w:rsidRPr="00531BD3">
        <w:rPr>
          <w:rFonts w:ascii="Century" w:hAnsi="Century" w:cs="Miriam" w:hint="eastAsia"/>
          <w:spacing w:val="0"/>
          <w:szCs w:val="24"/>
          <w:rtl/>
        </w:rPr>
        <w:t>בעידן</w:t>
      </w:r>
      <w:r w:rsidRPr="00531BD3">
        <w:rPr>
          <w:rFonts w:ascii="Century" w:hAnsi="Century" w:cs="Miriam"/>
          <w:spacing w:val="0"/>
          <w:szCs w:val="24"/>
          <w:rtl/>
        </w:rPr>
        <w:t xml:space="preserve"> </w:t>
      </w:r>
      <w:r w:rsidRPr="00531BD3">
        <w:rPr>
          <w:rFonts w:ascii="Century" w:hAnsi="Century" w:cs="Miriam" w:hint="eastAsia"/>
          <w:spacing w:val="0"/>
          <w:szCs w:val="24"/>
          <w:rtl/>
        </w:rPr>
        <w:t>הממשל</w:t>
      </w:r>
      <w:r w:rsidRPr="00531BD3">
        <w:rPr>
          <w:rFonts w:ascii="Century" w:hAnsi="Century" w:cs="Miriam"/>
          <w:spacing w:val="0"/>
          <w:szCs w:val="24"/>
          <w:rtl/>
        </w:rPr>
        <w:t xml:space="preserve"> </w:t>
      </w:r>
      <w:r w:rsidRPr="00531BD3">
        <w:rPr>
          <w:rFonts w:ascii="Century" w:hAnsi="Century" w:cs="Miriam" w:hint="eastAsia"/>
          <w:spacing w:val="0"/>
          <w:szCs w:val="24"/>
          <w:rtl/>
        </w:rPr>
        <w:t>התאגידי</w:t>
      </w:r>
      <w:r w:rsidRPr="00531BD3">
        <w:rPr>
          <w:rtl/>
        </w:rPr>
        <w:t>, 478-477 (</w:t>
      </w:r>
      <w:r w:rsidRPr="00531BD3">
        <w:rPr>
          <w:rFonts w:hint="eastAsia"/>
          <w:rtl/>
        </w:rPr>
        <w:t>מהדורה</w:t>
      </w:r>
      <w:r w:rsidRPr="00531BD3">
        <w:rPr>
          <w:rtl/>
        </w:rPr>
        <w:t xml:space="preserve"> </w:t>
      </w:r>
      <w:r w:rsidRPr="00531BD3">
        <w:rPr>
          <w:rFonts w:hint="eastAsia"/>
          <w:rtl/>
        </w:rPr>
        <w:t>חמישית</w:t>
      </w:r>
      <w:r w:rsidRPr="00531BD3">
        <w:rPr>
          <w:rtl/>
        </w:rPr>
        <w:t>, 2018)</w:t>
      </w:r>
      <w:r w:rsidRPr="00531BD3">
        <w:rPr>
          <w:rFonts w:hint="cs"/>
          <w:rtl/>
        </w:rPr>
        <w:t xml:space="preserve"> (להלן: </w:t>
      </w:r>
      <w:r w:rsidRPr="00531BD3">
        <w:rPr>
          <w:rFonts w:ascii="Century" w:hAnsi="Century" w:cs="Miriam" w:hint="cs"/>
          <w:b/>
          <w:spacing w:val="0"/>
          <w:szCs w:val="24"/>
          <w:rtl/>
        </w:rPr>
        <w:t>גרוס</w:t>
      </w:r>
      <w:r w:rsidRPr="00531BD3">
        <w:rPr>
          <w:rFonts w:hint="cs"/>
          <w:rtl/>
        </w:rPr>
        <w:t xml:space="preserve">, </w:t>
      </w:r>
      <w:r w:rsidRPr="00531BD3">
        <w:rPr>
          <w:rFonts w:ascii="Century" w:hAnsi="Century" w:cs="Miriam" w:hint="cs"/>
          <w:b/>
          <w:spacing w:val="0"/>
          <w:szCs w:val="24"/>
          <w:rtl/>
        </w:rPr>
        <w:t>דירקטורים ונושאי משרה</w:t>
      </w:r>
      <w:r w:rsidRPr="00531BD3">
        <w:rPr>
          <w:rFonts w:hint="cs"/>
          <w:rtl/>
        </w:rPr>
        <w:t xml:space="preserve">); </w:t>
      </w:r>
      <w:r w:rsidRPr="00531BD3">
        <w:rPr>
          <w:rFonts w:hint="eastAsia"/>
          <w:rtl/>
        </w:rPr>
        <w:t>הדס</w:t>
      </w:r>
      <w:r w:rsidRPr="00531BD3">
        <w:rPr>
          <w:rtl/>
        </w:rPr>
        <w:t xml:space="preserve"> </w:t>
      </w:r>
      <w:r w:rsidRPr="00531BD3">
        <w:rPr>
          <w:rFonts w:hint="eastAsia"/>
          <w:rtl/>
        </w:rPr>
        <w:t>אהרוני</w:t>
      </w:r>
      <w:r w:rsidRPr="00531BD3">
        <w:rPr>
          <w:rtl/>
        </w:rPr>
        <w:t>-</w:t>
      </w:r>
      <w:r w:rsidRPr="00531BD3">
        <w:rPr>
          <w:rFonts w:hint="eastAsia"/>
          <w:rtl/>
        </w:rPr>
        <w:t>ברק</w:t>
      </w:r>
      <w:r w:rsidRPr="00531BD3">
        <w:rPr>
          <w:rtl/>
        </w:rPr>
        <w:t xml:space="preserve"> </w:t>
      </w:r>
      <w:r w:rsidRPr="00531BD3">
        <w:rPr>
          <w:rFonts w:ascii="Century" w:hAnsi="Century" w:cs="Miriam" w:hint="eastAsia"/>
          <w:b/>
          <w:spacing w:val="0"/>
          <w:szCs w:val="24"/>
          <w:rtl/>
        </w:rPr>
        <w:t>עסקאות</w:t>
      </w:r>
      <w:r w:rsidRPr="00531BD3">
        <w:rPr>
          <w:rFonts w:ascii="Century" w:hAnsi="Century" w:cs="Miriam"/>
          <w:b/>
          <w:spacing w:val="0"/>
          <w:szCs w:val="24"/>
          <w:rtl/>
        </w:rPr>
        <w:t xml:space="preserve"> </w:t>
      </w:r>
      <w:r w:rsidRPr="00531BD3">
        <w:rPr>
          <w:rFonts w:ascii="Century" w:hAnsi="Century" w:cs="Miriam" w:hint="eastAsia"/>
          <w:b/>
          <w:spacing w:val="0"/>
          <w:szCs w:val="24"/>
          <w:rtl/>
        </w:rPr>
        <w:t>עם</w:t>
      </w:r>
      <w:r w:rsidRPr="00531BD3">
        <w:rPr>
          <w:rFonts w:ascii="Century" w:hAnsi="Century" w:cs="Miriam"/>
          <w:b/>
          <w:spacing w:val="0"/>
          <w:szCs w:val="24"/>
          <w:rtl/>
        </w:rPr>
        <w:t xml:space="preserve"> </w:t>
      </w:r>
      <w:r w:rsidRPr="00531BD3">
        <w:rPr>
          <w:rFonts w:ascii="Century" w:hAnsi="Century" w:cs="Miriam" w:hint="eastAsia"/>
          <w:b/>
          <w:spacing w:val="0"/>
          <w:szCs w:val="24"/>
          <w:rtl/>
        </w:rPr>
        <w:t>בעלי</w:t>
      </w:r>
      <w:r w:rsidRPr="00531BD3">
        <w:rPr>
          <w:rFonts w:ascii="Century" w:hAnsi="Century" w:cs="Miriam"/>
          <w:b/>
          <w:spacing w:val="0"/>
          <w:szCs w:val="24"/>
          <w:rtl/>
        </w:rPr>
        <w:t xml:space="preserve"> </w:t>
      </w:r>
      <w:r w:rsidRPr="00531BD3">
        <w:rPr>
          <w:rFonts w:ascii="Century" w:hAnsi="Century" w:cs="Miriam" w:hint="eastAsia"/>
          <w:b/>
          <w:spacing w:val="0"/>
          <w:szCs w:val="24"/>
          <w:rtl/>
        </w:rPr>
        <w:t>שליטה</w:t>
      </w:r>
      <w:r w:rsidRPr="00531BD3">
        <w:rPr>
          <w:rFonts w:ascii="Century" w:hAnsi="Century" w:cs="Miriam"/>
          <w:b/>
          <w:spacing w:val="0"/>
          <w:szCs w:val="24"/>
          <w:rtl/>
        </w:rPr>
        <w:t xml:space="preserve"> – </w:t>
      </w:r>
      <w:r w:rsidRPr="00531BD3">
        <w:rPr>
          <w:rFonts w:ascii="Century" w:hAnsi="Century" w:cs="Miriam" w:hint="eastAsia"/>
          <w:b/>
          <w:spacing w:val="0"/>
          <w:szCs w:val="24"/>
          <w:rtl/>
        </w:rPr>
        <w:t>אכיפה</w:t>
      </w:r>
      <w:r w:rsidRPr="00531BD3">
        <w:rPr>
          <w:rFonts w:ascii="Century" w:hAnsi="Century" w:cs="Miriam"/>
          <w:b/>
          <w:spacing w:val="0"/>
          <w:szCs w:val="24"/>
          <w:rtl/>
        </w:rPr>
        <w:t xml:space="preserve"> </w:t>
      </w:r>
      <w:r w:rsidRPr="00531BD3">
        <w:rPr>
          <w:rFonts w:ascii="Century" w:hAnsi="Century" w:cs="Miriam" w:hint="eastAsia"/>
          <w:b/>
          <w:spacing w:val="0"/>
          <w:szCs w:val="24"/>
          <w:rtl/>
        </w:rPr>
        <w:t>ציבורית</w:t>
      </w:r>
      <w:r w:rsidRPr="00531BD3">
        <w:rPr>
          <w:rFonts w:ascii="Century" w:hAnsi="Century" w:cs="Miriam"/>
          <w:b/>
          <w:spacing w:val="0"/>
          <w:szCs w:val="24"/>
          <w:rtl/>
        </w:rPr>
        <w:t xml:space="preserve">, </w:t>
      </w:r>
      <w:proofErr w:type="spellStart"/>
      <w:r w:rsidRPr="00531BD3">
        <w:rPr>
          <w:rFonts w:ascii="Century" w:hAnsi="Century" w:cs="Miriam" w:hint="eastAsia"/>
          <w:b/>
          <w:spacing w:val="0"/>
          <w:szCs w:val="24"/>
          <w:rtl/>
        </w:rPr>
        <w:t>רכוזיות</w:t>
      </w:r>
      <w:proofErr w:type="spellEnd"/>
      <w:r w:rsidRPr="00531BD3">
        <w:rPr>
          <w:rFonts w:ascii="Century" w:hAnsi="Century" w:cs="Miriam"/>
          <w:b/>
          <w:spacing w:val="0"/>
          <w:szCs w:val="24"/>
          <w:rtl/>
        </w:rPr>
        <w:t xml:space="preserve"> </w:t>
      </w:r>
      <w:r w:rsidRPr="00531BD3">
        <w:rPr>
          <w:rFonts w:ascii="Century" w:hAnsi="Century" w:cs="Miriam" w:hint="eastAsia"/>
          <w:b/>
          <w:spacing w:val="0"/>
          <w:szCs w:val="24"/>
          <w:rtl/>
        </w:rPr>
        <w:t>השליטה</w:t>
      </w:r>
      <w:r w:rsidRPr="00531BD3">
        <w:rPr>
          <w:rFonts w:ascii="Century" w:hAnsi="Century" w:cs="Miriam"/>
          <w:b/>
          <w:spacing w:val="0"/>
          <w:szCs w:val="24"/>
          <w:rtl/>
        </w:rPr>
        <w:t xml:space="preserve"> </w:t>
      </w:r>
      <w:r w:rsidRPr="00531BD3">
        <w:rPr>
          <w:rFonts w:ascii="Century" w:hAnsi="Century" w:cs="Miriam" w:hint="eastAsia"/>
          <w:b/>
          <w:spacing w:val="0"/>
          <w:szCs w:val="24"/>
          <w:rtl/>
        </w:rPr>
        <w:t>והגנת</w:t>
      </w:r>
      <w:r w:rsidRPr="00531BD3">
        <w:rPr>
          <w:rFonts w:ascii="Century" w:hAnsi="Century" w:cs="Miriam"/>
          <w:b/>
          <w:spacing w:val="0"/>
          <w:szCs w:val="24"/>
          <w:rtl/>
        </w:rPr>
        <w:t xml:space="preserve"> </w:t>
      </w:r>
      <w:r w:rsidRPr="00531BD3">
        <w:rPr>
          <w:rFonts w:ascii="Century" w:hAnsi="Century" w:cs="Miriam" w:hint="eastAsia"/>
          <w:b/>
          <w:spacing w:val="0"/>
          <w:szCs w:val="24"/>
          <w:rtl/>
        </w:rPr>
        <w:t>המיעוט</w:t>
      </w:r>
      <w:r w:rsidRPr="00531BD3">
        <w:rPr>
          <w:rtl/>
        </w:rPr>
        <w:t xml:space="preserve">, </w:t>
      </w:r>
      <w:r w:rsidRPr="00531BD3">
        <w:rPr>
          <w:rFonts w:hint="eastAsia"/>
          <w:rtl/>
        </w:rPr>
        <w:t>עמ</w:t>
      </w:r>
      <w:r w:rsidRPr="00531BD3">
        <w:rPr>
          <w:rtl/>
        </w:rPr>
        <w:t>' 92-91 (2014)</w:t>
      </w:r>
      <w:r w:rsidRPr="00531BD3">
        <w:rPr>
          <w:rFonts w:hint="cs"/>
          <w:rtl/>
        </w:rPr>
        <w:t>; זוהר גושן "'</w:t>
      </w:r>
      <w:proofErr w:type="spellStart"/>
      <w:r w:rsidRPr="00531BD3">
        <w:rPr>
          <w:rtl/>
        </w:rPr>
        <w:t>בעיית־הנציג</w:t>
      </w:r>
      <w:proofErr w:type="spellEnd"/>
      <w:r w:rsidRPr="00531BD3">
        <w:rPr>
          <w:rFonts w:hint="cs"/>
          <w:rtl/>
        </w:rPr>
        <w:t>'</w:t>
      </w:r>
      <w:r w:rsidRPr="00531BD3">
        <w:rPr>
          <w:rtl/>
        </w:rPr>
        <w:t xml:space="preserve"> כתיאוריה מאחדת לדיני </w:t>
      </w:r>
      <w:r w:rsidRPr="00531BD3">
        <w:rPr>
          <w:rFonts w:hint="cs"/>
          <w:rtl/>
        </w:rPr>
        <w:t xml:space="preserve">התאגידים" </w:t>
      </w:r>
      <w:r w:rsidRPr="00531BD3">
        <w:rPr>
          <w:rFonts w:ascii="Century" w:hAnsi="Century" w:cs="Miriam"/>
          <w:b/>
          <w:spacing w:val="0"/>
          <w:szCs w:val="24"/>
          <w:rtl/>
        </w:rPr>
        <w:t xml:space="preserve">ספר זיכרון </w:t>
      </w:r>
      <w:proofErr w:type="spellStart"/>
      <w:r w:rsidRPr="00531BD3">
        <w:rPr>
          <w:rFonts w:ascii="Century" w:hAnsi="Century" w:cs="Miriam"/>
          <w:b/>
          <w:spacing w:val="0"/>
          <w:szCs w:val="24"/>
          <w:rtl/>
        </w:rPr>
        <w:t>לגואלטיארו</w:t>
      </w:r>
      <w:proofErr w:type="spellEnd"/>
      <w:r w:rsidRPr="00531BD3">
        <w:rPr>
          <w:rFonts w:ascii="Century" w:hAnsi="Century" w:cs="Miriam"/>
          <w:b/>
          <w:spacing w:val="0"/>
          <w:szCs w:val="24"/>
          <w:rtl/>
        </w:rPr>
        <w:t xml:space="preserve"> </w:t>
      </w:r>
      <w:proofErr w:type="spellStart"/>
      <w:r w:rsidRPr="00531BD3">
        <w:rPr>
          <w:rFonts w:ascii="Century" w:hAnsi="Century" w:cs="Miriam"/>
          <w:b/>
          <w:spacing w:val="0"/>
          <w:szCs w:val="24"/>
          <w:rtl/>
        </w:rPr>
        <w:t>פרוקצ'יה</w:t>
      </w:r>
      <w:proofErr w:type="spellEnd"/>
      <w:r w:rsidRPr="00531BD3">
        <w:rPr>
          <w:rFonts w:ascii="Century" w:hAnsi="Century" w:cs="Miriam"/>
          <w:b/>
          <w:spacing w:val="0"/>
          <w:szCs w:val="24"/>
          <w:rtl/>
        </w:rPr>
        <w:t xml:space="preserve"> </w:t>
      </w:r>
      <w:r w:rsidRPr="00531BD3">
        <w:rPr>
          <w:rFonts w:ascii="Century" w:hAnsi="Century" w:cs="Miriam" w:hint="eastAsia"/>
          <w:b/>
          <w:spacing w:val="0"/>
          <w:szCs w:val="24"/>
          <w:rtl/>
        </w:rPr>
        <w:t>–</w:t>
      </w:r>
      <w:r w:rsidRPr="00531BD3">
        <w:rPr>
          <w:rFonts w:ascii="Century" w:hAnsi="Century" w:cs="Miriam"/>
          <w:b/>
          <w:spacing w:val="0"/>
          <w:szCs w:val="24"/>
          <w:rtl/>
        </w:rPr>
        <w:t xml:space="preserve"> חיבורי משפט</w:t>
      </w:r>
      <w:r w:rsidRPr="00531BD3">
        <w:rPr>
          <w:rtl/>
        </w:rPr>
        <w:t xml:space="preserve"> </w:t>
      </w:r>
      <w:r w:rsidRPr="00531BD3">
        <w:rPr>
          <w:rFonts w:hint="cs"/>
          <w:rtl/>
        </w:rPr>
        <w:t xml:space="preserve">239, 254-252 (1996)). אמנם חוק החברות אינו אוסר על ביצוע עסקאות כאלה מתוך תפיסה שהן עשויות גם להיטיב עם החברה. אולם הנחת היסוד היא כי נדרש מנגנון קפדני שיבטיח כי אישור העסקה ייעשה על ידי אורגנים שאינם מושפעים מניגוד העניינים. זאת על רקע המורכבות הכרוכה בעסקאות, והחשש כי מי שמופקד על קבלת החלטות בחברה ינצל את כוחו ומעמדו על מנת להפיק טובת הנאה על חשבון אינטרס החברה (ראו למשל: ע"פ 3891/04 </w:t>
      </w:r>
      <w:r w:rsidRPr="00531BD3">
        <w:rPr>
          <w:rFonts w:ascii="Century" w:hAnsi="Century" w:cs="Miriam" w:hint="eastAsia"/>
          <w:b/>
          <w:spacing w:val="0"/>
          <w:szCs w:val="24"/>
          <w:rtl/>
        </w:rPr>
        <w:t>ערד</w:t>
      </w:r>
      <w:r w:rsidRPr="00531BD3">
        <w:rPr>
          <w:rFonts w:ascii="Century" w:hAnsi="Century" w:cs="Miriam"/>
          <w:b/>
          <w:spacing w:val="0"/>
          <w:szCs w:val="24"/>
          <w:rtl/>
        </w:rPr>
        <w:t xml:space="preserve"> </w:t>
      </w:r>
      <w:r w:rsidRPr="00531BD3">
        <w:rPr>
          <w:rFonts w:ascii="Century" w:hAnsi="Century" w:cs="Miriam" w:hint="eastAsia"/>
          <w:b/>
          <w:spacing w:val="0"/>
          <w:szCs w:val="24"/>
          <w:rtl/>
        </w:rPr>
        <w:t>השקעות</w:t>
      </w:r>
      <w:r w:rsidRPr="00531BD3">
        <w:rPr>
          <w:rFonts w:ascii="Century" w:hAnsi="Century" w:cs="Miriam"/>
          <w:b/>
          <w:spacing w:val="0"/>
          <w:szCs w:val="24"/>
          <w:rtl/>
        </w:rPr>
        <w:t xml:space="preserve"> </w:t>
      </w:r>
      <w:r w:rsidRPr="00531BD3">
        <w:rPr>
          <w:rFonts w:ascii="Century" w:hAnsi="Century" w:cs="Miriam" w:hint="eastAsia"/>
          <w:b/>
          <w:spacing w:val="0"/>
          <w:szCs w:val="24"/>
          <w:rtl/>
        </w:rPr>
        <w:t>ופיתוח</w:t>
      </w:r>
      <w:r w:rsidRPr="00531BD3">
        <w:rPr>
          <w:rFonts w:ascii="Century" w:hAnsi="Century" w:cs="Miriam"/>
          <w:b/>
          <w:spacing w:val="0"/>
          <w:szCs w:val="24"/>
          <w:rtl/>
        </w:rPr>
        <w:t xml:space="preserve"> </w:t>
      </w:r>
      <w:r w:rsidRPr="00531BD3">
        <w:rPr>
          <w:rFonts w:ascii="Century" w:hAnsi="Century" w:cs="Miriam" w:hint="eastAsia"/>
          <w:b/>
          <w:spacing w:val="0"/>
          <w:szCs w:val="24"/>
          <w:rtl/>
        </w:rPr>
        <w:t>תעשייה</w:t>
      </w:r>
      <w:r w:rsidRPr="00531BD3">
        <w:rPr>
          <w:rFonts w:ascii="Century" w:hAnsi="Century" w:cs="Miriam"/>
          <w:b/>
          <w:spacing w:val="0"/>
          <w:szCs w:val="24"/>
          <w:rtl/>
        </w:rPr>
        <w:t xml:space="preserve"> </w:t>
      </w:r>
      <w:r w:rsidRPr="00531BD3">
        <w:rPr>
          <w:rFonts w:ascii="Century" w:hAnsi="Century" w:cs="Miriam" w:hint="eastAsia"/>
          <w:b/>
          <w:spacing w:val="0"/>
          <w:szCs w:val="24"/>
          <w:rtl/>
        </w:rPr>
        <w:t>בע</w:t>
      </w:r>
      <w:r w:rsidRPr="00531BD3">
        <w:rPr>
          <w:rFonts w:ascii="Century" w:hAnsi="Century" w:cs="Miriam"/>
          <w:b/>
          <w:spacing w:val="0"/>
          <w:szCs w:val="24"/>
          <w:rtl/>
        </w:rPr>
        <w:t>"</w:t>
      </w:r>
      <w:r w:rsidRPr="00531BD3">
        <w:rPr>
          <w:rFonts w:ascii="Century" w:hAnsi="Century" w:cs="Miriam" w:hint="eastAsia"/>
          <w:b/>
          <w:spacing w:val="0"/>
          <w:szCs w:val="24"/>
          <w:rtl/>
        </w:rPr>
        <w:t>מ</w:t>
      </w:r>
      <w:r w:rsidRPr="00531BD3">
        <w:rPr>
          <w:rFonts w:ascii="Century" w:hAnsi="Century" w:cs="Miriam"/>
          <w:b/>
          <w:spacing w:val="0"/>
          <w:szCs w:val="24"/>
          <w:rtl/>
        </w:rPr>
        <w:t xml:space="preserve"> </w:t>
      </w:r>
      <w:r w:rsidRPr="00531BD3">
        <w:rPr>
          <w:rFonts w:ascii="Century" w:hAnsi="Century" w:cs="Miriam" w:hint="eastAsia"/>
          <w:b/>
          <w:spacing w:val="0"/>
          <w:szCs w:val="24"/>
          <w:rtl/>
        </w:rPr>
        <w:t>נ</w:t>
      </w:r>
      <w:r w:rsidRPr="00531BD3">
        <w:rPr>
          <w:rFonts w:ascii="Century" w:hAnsi="Century" w:cs="Miriam"/>
          <w:b/>
          <w:spacing w:val="0"/>
          <w:szCs w:val="24"/>
          <w:rtl/>
        </w:rPr>
        <w:t xml:space="preserve">' </w:t>
      </w:r>
      <w:r w:rsidRPr="00531BD3">
        <w:rPr>
          <w:rFonts w:ascii="Century" w:hAnsi="Century" w:cs="Miriam" w:hint="eastAsia"/>
          <w:b/>
          <w:spacing w:val="0"/>
          <w:szCs w:val="24"/>
          <w:rtl/>
        </w:rPr>
        <w:t>מדינת</w:t>
      </w:r>
      <w:r w:rsidRPr="00531BD3">
        <w:rPr>
          <w:rFonts w:ascii="Century" w:hAnsi="Century" w:cs="Miriam"/>
          <w:b/>
          <w:spacing w:val="0"/>
          <w:szCs w:val="24"/>
          <w:rtl/>
        </w:rPr>
        <w:t xml:space="preserve"> </w:t>
      </w:r>
      <w:r w:rsidRPr="00531BD3">
        <w:rPr>
          <w:rFonts w:ascii="Century" w:hAnsi="Century" w:cs="Miriam" w:hint="eastAsia"/>
          <w:b/>
          <w:spacing w:val="0"/>
          <w:szCs w:val="24"/>
          <w:rtl/>
        </w:rPr>
        <w:t>ישראל</w:t>
      </w:r>
      <w:r w:rsidRPr="00531BD3">
        <w:rPr>
          <w:rtl/>
        </w:rPr>
        <w:t xml:space="preserve">, </w:t>
      </w:r>
      <w:r w:rsidRPr="00531BD3">
        <w:rPr>
          <w:rFonts w:hint="eastAsia"/>
          <w:rtl/>
        </w:rPr>
        <w:t>פ</w:t>
      </w:r>
      <w:r w:rsidRPr="00531BD3">
        <w:rPr>
          <w:rFonts w:hint="cs"/>
          <w:rtl/>
        </w:rPr>
        <w:t>"</w:t>
      </w:r>
      <w:r w:rsidRPr="00531BD3">
        <w:rPr>
          <w:rFonts w:hint="eastAsia"/>
          <w:rtl/>
        </w:rPr>
        <w:t>ד</w:t>
      </w:r>
      <w:r w:rsidRPr="00531BD3">
        <w:rPr>
          <w:rtl/>
        </w:rPr>
        <w:t xml:space="preserve"> </w:t>
      </w:r>
      <w:r w:rsidRPr="00531BD3">
        <w:rPr>
          <w:rFonts w:hint="eastAsia"/>
          <w:rtl/>
        </w:rPr>
        <w:t>ס</w:t>
      </w:r>
      <w:r w:rsidRPr="00531BD3">
        <w:rPr>
          <w:rtl/>
        </w:rPr>
        <w:t>(1) 294</w:t>
      </w:r>
      <w:r w:rsidRPr="00531BD3">
        <w:rPr>
          <w:rFonts w:hint="cs"/>
          <w:rtl/>
        </w:rPr>
        <w:t xml:space="preserve">, 336-330 (2006) (להלן: עניין </w:t>
      </w:r>
      <w:r w:rsidRPr="00531BD3">
        <w:rPr>
          <w:rFonts w:ascii="Century" w:hAnsi="Century" w:cs="Miriam" w:hint="cs"/>
          <w:b/>
          <w:spacing w:val="0"/>
          <w:szCs w:val="24"/>
          <w:rtl/>
        </w:rPr>
        <w:t>ערד</w:t>
      </w:r>
      <w:r w:rsidRPr="00531BD3">
        <w:rPr>
          <w:rFonts w:hint="cs"/>
          <w:rtl/>
        </w:rPr>
        <w:t xml:space="preserve">); עניין </w:t>
      </w:r>
      <w:r w:rsidRPr="00531BD3">
        <w:rPr>
          <w:rFonts w:ascii="Century" w:hAnsi="Century" w:cs="Miriam" w:hint="eastAsia"/>
          <w:b/>
          <w:spacing w:val="0"/>
          <w:szCs w:val="24"/>
          <w:rtl/>
        </w:rPr>
        <w:t>אסם</w:t>
      </w:r>
      <w:r w:rsidRPr="00531BD3">
        <w:rPr>
          <w:rFonts w:ascii="Century" w:hAnsi="Century" w:cs="Miriam"/>
          <w:b/>
          <w:spacing w:val="0"/>
          <w:szCs w:val="24"/>
          <w:rtl/>
        </w:rPr>
        <w:t xml:space="preserve"> </w:t>
      </w:r>
      <w:r w:rsidRPr="00531BD3">
        <w:rPr>
          <w:rFonts w:ascii="Century" w:hAnsi="Century" w:cs="Miriam" w:hint="eastAsia"/>
          <w:b/>
          <w:spacing w:val="0"/>
          <w:szCs w:val="24"/>
          <w:rtl/>
        </w:rPr>
        <w:t>השקעות</w:t>
      </w:r>
      <w:r w:rsidRPr="00531BD3">
        <w:rPr>
          <w:rFonts w:hint="cs"/>
          <w:rtl/>
        </w:rPr>
        <w:t xml:space="preserve">, פסקה 11; </w:t>
      </w:r>
      <w:r w:rsidRPr="00531BD3">
        <w:rPr>
          <w:rFonts w:ascii="Century" w:hAnsi="Century" w:cs="Miriam" w:hint="cs"/>
          <w:b/>
          <w:spacing w:val="0"/>
          <w:szCs w:val="24"/>
          <w:rtl/>
        </w:rPr>
        <w:t>גרוס</w:t>
      </w:r>
      <w:r w:rsidRPr="00531BD3">
        <w:rPr>
          <w:rFonts w:hint="cs"/>
          <w:rtl/>
        </w:rPr>
        <w:t xml:space="preserve">, </w:t>
      </w:r>
      <w:r w:rsidRPr="00531BD3">
        <w:rPr>
          <w:rFonts w:ascii="Century" w:hAnsi="Century" w:cs="Miriam" w:hint="cs"/>
          <w:b/>
          <w:spacing w:val="0"/>
          <w:szCs w:val="24"/>
          <w:rtl/>
        </w:rPr>
        <w:t>דירקטורים ונושאי משרה</w:t>
      </w:r>
      <w:r w:rsidRPr="00531BD3">
        <w:rPr>
          <w:rFonts w:hint="cs"/>
          <w:rtl/>
        </w:rPr>
        <w:t xml:space="preserve"> עמ' 478-477). כמו כן, מצד </w:t>
      </w:r>
      <w:r w:rsidRPr="00531BD3">
        <w:rPr>
          <w:rFonts w:hint="eastAsia"/>
          <w:rtl/>
        </w:rPr>
        <w:t>הדין</w:t>
      </w:r>
      <w:r w:rsidRPr="00531BD3">
        <w:rPr>
          <w:rtl/>
        </w:rPr>
        <w:t xml:space="preserve"> </w:t>
      </w:r>
      <w:r w:rsidRPr="00531BD3">
        <w:rPr>
          <w:rFonts w:hint="eastAsia"/>
          <w:rtl/>
        </w:rPr>
        <w:t>המהותי</w:t>
      </w:r>
      <w:r w:rsidRPr="00531BD3">
        <w:rPr>
          <w:rtl/>
        </w:rPr>
        <w:t xml:space="preserve">, </w:t>
      </w:r>
      <w:r w:rsidRPr="00531BD3">
        <w:rPr>
          <w:rFonts w:hint="eastAsia"/>
          <w:rtl/>
        </w:rPr>
        <w:t>כפופות</w:t>
      </w:r>
      <w:r w:rsidRPr="00531BD3">
        <w:rPr>
          <w:rtl/>
        </w:rPr>
        <w:t xml:space="preserve"> </w:t>
      </w:r>
      <w:r w:rsidRPr="00531BD3">
        <w:rPr>
          <w:rFonts w:hint="eastAsia"/>
          <w:rtl/>
        </w:rPr>
        <w:t>עסקאות</w:t>
      </w:r>
      <w:r w:rsidRPr="00531BD3">
        <w:rPr>
          <w:rtl/>
        </w:rPr>
        <w:t xml:space="preserve"> </w:t>
      </w:r>
      <w:r w:rsidRPr="00531BD3">
        <w:rPr>
          <w:rFonts w:hint="eastAsia"/>
          <w:rtl/>
        </w:rPr>
        <w:t>מסוג</w:t>
      </w:r>
      <w:r w:rsidRPr="00531BD3">
        <w:rPr>
          <w:rtl/>
        </w:rPr>
        <w:t xml:space="preserve"> </w:t>
      </w:r>
      <w:r w:rsidRPr="00531BD3">
        <w:rPr>
          <w:rFonts w:hint="eastAsia"/>
          <w:rtl/>
        </w:rPr>
        <w:t>זה</w:t>
      </w:r>
      <w:r w:rsidRPr="00531BD3">
        <w:rPr>
          <w:rtl/>
        </w:rPr>
        <w:t xml:space="preserve"> </w:t>
      </w:r>
      <w:r w:rsidRPr="00531BD3">
        <w:rPr>
          <w:rFonts w:hint="eastAsia"/>
          <w:rtl/>
        </w:rPr>
        <w:t>לחובות</w:t>
      </w:r>
      <w:r w:rsidRPr="00531BD3">
        <w:rPr>
          <w:rtl/>
        </w:rPr>
        <w:t xml:space="preserve"> </w:t>
      </w:r>
      <w:r w:rsidRPr="00531BD3">
        <w:rPr>
          <w:rFonts w:hint="eastAsia"/>
          <w:rtl/>
        </w:rPr>
        <w:t>האמון</w:t>
      </w:r>
      <w:r w:rsidRPr="00531BD3">
        <w:rPr>
          <w:rtl/>
        </w:rPr>
        <w:t xml:space="preserve"> </w:t>
      </w:r>
      <w:r w:rsidRPr="00531BD3">
        <w:rPr>
          <w:rFonts w:hint="eastAsia"/>
          <w:rtl/>
        </w:rPr>
        <w:t>והזהירות</w:t>
      </w:r>
      <w:r w:rsidRPr="00531BD3">
        <w:rPr>
          <w:rtl/>
        </w:rPr>
        <w:t xml:space="preserve"> </w:t>
      </w:r>
      <w:r w:rsidRPr="00531BD3">
        <w:rPr>
          <w:rFonts w:hint="eastAsia"/>
          <w:rtl/>
        </w:rPr>
        <w:t>המוטלות</w:t>
      </w:r>
      <w:r w:rsidRPr="00531BD3">
        <w:rPr>
          <w:rtl/>
        </w:rPr>
        <w:t xml:space="preserve"> </w:t>
      </w:r>
      <w:r w:rsidRPr="00531BD3">
        <w:rPr>
          <w:rFonts w:hint="eastAsia"/>
          <w:rtl/>
        </w:rPr>
        <w:t>על</w:t>
      </w:r>
      <w:r w:rsidRPr="00531BD3">
        <w:rPr>
          <w:rtl/>
        </w:rPr>
        <w:t xml:space="preserve"> </w:t>
      </w:r>
      <w:r w:rsidRPr="00531BD3">
        <w:rPr>
          <w:rFonts w:hint="eastAsia"/>
          <w:rtl/>
        </w:rPr>
        <w:t>נושאי</w:t>
      </w:r>
      <w:r w:rsidRPr="00531BD3">
        <w:rPr>
          <w:rtl/>
        </w:rPr>
        <w:t xml:space="preserve"> </w:t>
      </w:r>
      <w:r w:rsidRPr="00531BD3">
        <w:rPr>
          <w:rFonts w:hint="eastAsia"/>
          <w:rtl/>
        </w:rPr>
        <w:t>המשרה</w:t>
      </w:r>
      <w:r w:rsidRPr="00531BD3">
        <w:rPr>
          <w:rtl/>
        </w:rPr>
        <w:t xml:space="preserve">, </w:t>
      </w:r>
      <w:r w:rsidRPr="00531BD3">
        <w:rPr>
          <w:rFonts w:hint="eastAsia"/>
          <w:rtl/>
        </w:rPr>
        <w:t>ולחובות</w:t>
      </w:r>
      <w:r w:rsidRPr="00531BD3">
        <w:rPr>
          <w:rtl/>
        </w:rPr>
        <w:t xml:space="preserve"> </w:t>
      </w:r>
      <w:r w:rsidRPr="00531BD3">
        <w:rPr>
          <w:rFonts w:hint="eastAsia"/>
          <w:rtl/>
        </w:rPr>
        <w:t>תום</w:t>
      </w:r>
      <w:r w:rsidRPr="00531BD3">
        <w:rPr>
          <w:rFonts w:hint="cs"/>
          <w:rtl/>
        </w:rPr>
        <w:t xml:space="preserve"> </w:t>
      </w:r>
      <w:r w:rsidRPr="00531BD3">
        <w:rPr>
          <w:rFonts w:hint="eastAsia"/>
          <w:rtl/>
        </w:rPr>
        <w:t>הלב</w:t>
      </w:r>
      <w:r w:rsidRPr="00531BD3">
        <w:rPr>
          <w:rtl/>
        </w:rPr>
        <w:t xml:space="preserve"> </w:t>
      </w:r>
      <w:r w:rsidRPr="00531BD3">
        <w:rPr>
          <w:rFonts w:hint="eastAsia"/>
          <w:rtl/>
        </w:rPr>
        <w:t>וההגינות</w:t>
      </w:r>
      <w:r w:rsidRPr="00531BD3">
        <w:rPr>
          <w:rtl/>
        </w:rPr>
        <w:t xml:space="preserve"> </w:t>
      </w:r>
      <w:r w:rsidRPr="00531BD3">
        <w:rPr>
          <w:rFonts w:hint="eastAsia"/>
          <w:rtl/>
        </w:rPr>
        <w:t>המוטלות</w:t>
      </w:r>
      <w:r w:rsidRPr="00531BD3">
        <w:rPr>
          <w:rtl/>
        </w:rPr>
        <w:t xml:space="preserve"> </w:t>
      </w:r>
      <w:r w:rsidRPr="00531BD3">
        <w:rPr>
          <w:rFonts w:hint="eastAsia"/>
          <w:rtl/>
        </w:rPr>
        <w:t>על</w:t>
      </w:r>
      <w:r w:rsidRPr="00531BD3">
        <w:rPr>
          <w:rtl/>
        </w:rPr>
        <w:t xml:space="preserve"> </w:t>
      </w:r>
      <w:r w:rsidRPr="00531BD3">
        <w:rPr>
          <w:rFonts w:hint="eastAsia"/>
          <w:rtl/>
        </w:rPr>
        <w:t>בעלי</w:t>
      </w:r>
      <w:r w:rsidRPr="00531BD3">
        <w:rPr>
          <w:rtl/>
        </w:rPr>
        <w:t xml:space="preserve"> </w:t>
      </w:r>
      <w:r w:rsidRPr="00531BD3">
        <w:rPr>
          <w:rFonts w:hint="eastAsia"/>
          <w:rtl/>
        </w:rPr>
        <w:t>השליטה</w:t>
      </w:r>
      <w:r w:rsidRPr="00531BD3">
        <w:rPr>
          <w:rFonts w:hint="cs"/>
          <w:rtl/>
        </w:rPr>
        <w:t xml:space="preserve"> (</w:t>
      </w:r>
      <w:r w:rsidRPr="00531BD3">
        <w:rPr>
          <w:rFonts w:hint="eastAsia"/>
          <w:rtl/>
        </w:rPr>
        <w:t>ע</w:t>
      </w:r>
      <w:r w:rsidRPr="00531BD3">
        <w:rPr>
          <w:rtl/>
        </w:rPr>
        <w:t>"</w:t>
      </w:r>
      <w:r w:rsidRPr="00531BD3">
        <w:rPr>
          <w:rFonts w:hint="eastAsia"/>
          <w:rtl/>
        </w:rPr>
        <w:t>א</w:t>
      </w:r>
      <w:r w:rsidRPr="00531BD3">
        <w:rPr>
          <w:rtl/>
        </w:rPr>
        <w:t xml:space="preserve"> 2718/09 </w:t>
      </w:r>
      <w:r w:rsidRPr="00531BD3">
        <w:rPr>
          <w:rFonts w:ascii="Century" w:hAnsi="Century" w:cs="Miriam"/>
          <w:b/>
          <w:spacing w:val="0"/>
          <w:szCs w:val="24"/>
          <w:rtl/>
        </w:rPr>
        <w:t>"</w:t>
      </w:r>
      <w:r w:rsidRPr="00531BD3">
        <w:rPr>
          <w:rFonts w:ascii="Century" w:hAnsi="Century" w:cs="Miriam" w:hint="eastAsia"/>
          <w:b/>
          <w:spacing w:val="0"/>
          <w:szCs w:val="24"/>
          <w:rtl/>
        </w:rPr>
        <w:t>גדיש</w:t>
      </w:r>
      <w:r w:rsidRPr="00531BD3">
        <w:rPr>
          <w:rFonts w:ascii="Century" w:hAnsi="Century" w:cs="Miriam"/>
          <w:b/>
          <w:spacing w:val="0"/>
          <w:szCs w:val="24"/>
          <w:rtl/>
        </w:rPr>
        <w:t xml:space="preserve">" </w:t>
      </w:r>
      <w:r w:rsidRPr="00531BD3">
        <w:rPr>
          <w:rFonts w:ascii="Century" w:hAnsi="Century" w:cs="Miriam" w:hint="eastAsia"/>
          <w:b/>
          <w:spacing w:val="0"/>
          <w:szCs w:val="24"/>
          <w:rtl/>
        </w:rPr>
        <w:t>קרנות</w:t>
      </w:r>
      <w:r w:rsidRPr="00531BD3">
        <w:rPr>
          <w:rFonts w:ascii="Century" w:hAnsi="Century" w:cs="Miriam"/>
          <w:b/>
          <w:spacing w:val="0"/>
          <w:szCs w:val="24"/>
          <w:rtl/>
        </w:rPr>
        <w:t xml:space="preserve"> </w:t>
      </w:r>
      <w:r w:rsidRPr="00531BD3">
        <w:rPr>
          <w:rFonts w:ascii="Century" w:hAnsi="Century" w:cs="Miriam" w:hint="eastAsia"/>
          <w:b/>
          <w:spacing w:val="0"/>
          <w:szCs w:val="24"/>
          <w:rtl/>
        </w:rPr>
        <w:lastRenderedPageBreak/>
        <w:t>גמולים</w:t>
      </w:r>
      <w:r w:rsidRPr="00531BD3">
        <w:rPr>
          <w:rFonts w:ascii="Century" w:hAnsi="Century" w:cs="Miriam"/>
          <w:b/>
          <w:spacing w:val="0"/>
          <w:szCs w:val="24"/>
          <w:rtl/>
        </w:rPr>
        <w:t xml:space="preserve"> </w:t>
      </w:r>
      <w:r w:rsidRPr="00531BD3">
        <w:rPr>
          <w:rFonts w:ascii="Century" w:hAnsi="Century" w:cs="Miriam" w:hint="eastAsia"/>
          <w:b/>
          <w:spacing w:val="0"/>
          <w:szCs w:val="24"/>
          <w:rtl/>
        </w:rPr>
        <w:t>בע</w:t>
      </w:r>
      <w:r w:rsidRPr="00531BD3">
        <w:rPr>
          <w:rFonts w:ascii="Century" w:hAnsi="Century" w:cs="Miriam"/>
          <w:b/>
          <w:spacing w:val="0"/>
          <w:szCs w:val="24"/>
          <w:rtl/>
        </w:rPr>
        <w:t>"</w:t>
      </w:r>
      <w:r w:rsidRPr="00531BD3">
        <w:rPr>
          <w:rFonts w:ascii="Century" w:hAnsi="Century" w:cs="Miriam" w:hint="eastAsia"/>
          <w:b/>
          <w:spacing w:val="0"/>
          <w:szCs w:val="24"/>
          <w:rtl/>
        </w:rPr>
        <w:t>מ</w:t>
      </w:r>
      <w:r w:rsidRPr="00531BD3">
        <w:rPr>
          <w:rFonts w:ascii="Century" w:hAnsi="Century" w:cs="Miriam"/>
          <w:b/>
          <w:spacing w:val="0"/>
          <w:szCs w:val="24"/>
          <w:rtl/>
        </w:rPr>
        <w:t xml:space="preserve"> </w:t>
      </w:r>
      <w:r w:rsidRPr="00531BD3">
        <w:rPr>
          <w:rFonts w:ascii="Century" w:hAnsi="Century" w:cs="Miriam" w:hint="eastAsia"/>
          <w:b/>
          <w:spacing w:val="0"/>
          <w:szCs w:val="24"/>
          <w:rtl/>
        </w:rPr>
        <w:t>נ</w:t>
      </w:r>
      <w:r w:rsidRPr="00531BD3">
        <w:rPr>
          <w:rFonts w:ascii="Century" w:hAnsi="Century" w:cs="Miriam"/>
          <w:b/>
          <w:spacing w:val="0"/>
          <w:szCs w:val="24"/>
          <w:rtl/>
        </w:rPr>
        <w:t xml:space="preserve">' </w:t>
      </w:r>
      <w:r w:rsidRPr="00531BD3">
        <w:rPr>
          <w:rFonts w:ascii="Century" w:hAnsi="Century" w:cs="Miriam" w:hint="eastAsia"/>
          <w:b/>
          <w:spacing w:val="0"/>
          <w:szCs w:val="24"/>
          <w:rtl/>
        </w:rPr>
        <w:t>אלסינט</w:t>
      </w:r>
      <w:r w:rsidRPr="00531BD3">
        <w:rPr>
          <w:rFonts w:ascii="Century" w:hAnsi="Century" w:cs="Miriam"/>
          <w:b/>
          <w:spacing w:val="0"/>
          <w:szCs w:val="24"/>
          <w:rtl/>
        </w:rPr>
        <w:t xml:space="preserve"> </w:t>
      </w:r>
      <w:r w:rsidRPr="00531BD3">
        <w:rPr>
          <w:rFonts w:ascii="Century" w:hAnsi="Century" w:cs="Miriam" w:hint="eastAsia"/>
          <w:b/>
          <w:spacing w:val="0"/>
          <w:szCs w:val="24"/>
          <w:rtl/>
        </w:rPr>
        <w:t>בע</w:t>
      </w:r>
      <w:r w:rsidRPr="00531BD3">
        <w:rPr>
          <w:rFonts w:ascii="Century" w:hAnsi="Century" w:cs="Miriam"/>
          <w:b/>
          <w:spacing w:val="0"/>
          <w:szCs w:val="24"/>
          <w:rtl/>
        </w:rPr>
        <w:t>"</w:t>
      </w:r>
      <w:r w:rsidRPr="00531BD3">
        <w:rPr>
          <w:rFonts w:ascii="Century" w:hAnsi="Century" w:cs="Miriam" w:hint="eastAsia"/>
          <w:b/>
          <w:spacing w:val="0"/>
          <w:sz w:val="22"/>
          <w:szCs w:val="24"/>
          <w:rtl/>
        </w:rPr>
        <w:t>מ</w:t>
      </w:r>
      <w:r w:rsidRPr="00531BD3">
        <w:rPr>
          <w:rtl/>
        </w:rPr>
        <w:t xml:space="preserve">, </w:t>
      </w:r>
      <w:r w:rsidRPr="00531BD3">
        <w:rPr>
          <w:rFonts w:hint="eastAsia"/>
          <w:rtl/>
        </w:rPr>
        <w:t>פסקה</w:t>
      </w:r>
      <w:r w:rsidRPr="00531BD3">
        <w:rPr>
          <w:rtl/>
        </w:rPr>
        <w:t xml:space="preserve"> 31 (28.5.2012)</w:t>
      </w:r>
      <w:r w:rsidRPr="00531BD3">
        <w:rPr>
          <w:rFonts w:hint="cs"/>
          <w:rtl/>
        </w:rPr>
        <w:t xml:space="preserve"> (להלן: עניין </w:t>
      </w:r>
      <w:r w:rsidRPr="00531BD3">
        <w:rPr>
          <w:rFonts w:ascii="Century" w:hAnsi="Century" w:cs="Miriam" w:hint="cs"/>
          <w:b/>
          <w:spacing w:val="0"/>
          <w:szCs w:val="24"/>
          <w:rtl/>
        </w:rPr>
        <w:t>גדיש</w:t>
      </w:r>
      <w:r w:rsidRPr="00531BD3">
        <w:rPr>
          <w:rFonts w:hint="cs"/>
          <w:rtl/>
        </w:rPr>
        <w:t>)</w:t>
      </w:r>
      <w:r w:rsidRPr="00531BD3">
        <w:rPr>
          <w:rtl/>
        </w:rPr>
        <w:t xml:space="preserve">; </w:t>
      </w:r>
      <w:r w:rsidRPr="00531BD3">
        <w:rPr>
          <w:rFonts w:hint="cs"/>
          <w:rtl/>
        </w:rPr>
        <w:t xml:space="preserve">עניין </w:t>
      </w:r>
      <w:r w:rsidRPr="00531BD3">
        <w:rPr>
          <w:rFonts w:ascii="Century" w:hAnsi="Century" w:cs="Miriam" w:hint="cs"/>
          <w:b/>
          <w:spacing w:val="0"/>
          <w:szCs w:val="24"/>
          <w:rtl/>
        </w:rPr>
        <w:t>אסם השקעות</w:t>
      </w:r>
      <w:r w:rsidRPr="00531BD3">
        <w:rPr>
          <w:rFonts w:hint="cs"/>
          <w:rtl/>
        </w:rPr>
        <w:t xml:space="preserve">, פסקה 11; עניין </w:t>
      </w:r>
      <w:r w:rsidRPr="00531BD3">
        <w:rPr>
          <w:rFonts w:ascii="Century" w:hAnsi="Century" w:cs="Miriam" w:hint="cs"/>
          <w:b/>
          <w:spacing w:val="0"/>
          <w:szCs w:val="24"/>
          <w:rtl/>
        </w:rPr>
        <w:t>בנק מזרחי</w:t>
      </w:r>
      <w:r w:rsidRPr="00531BD3">
        <w:rPr>
          <w:rFonts w:hint="cs"/>
          <w:rtl/>
        </w:rPr>
        <w:t>, פסקה 5).</w:t>
      </w:r>
    </w:p>
    <w:p w:rsidR="008A4DD4" w:rsidRPr="00531BD3" w:rsidRDefault="008A4DD4" w:rsidP="008A4DD4">
      <w:pPr>
        <w:pStyle w:val="Ruller41"/>
        <w:rPr>
          <w:rtl/>
        </w:rPr>
      </w:pPr>
    </w:p>
    <w:p w:rsidR="008A4DD4" w:rsidRPr="00531BD3" w:rsidRDefault="008A4DD4" w:rsidP="008A4DD4">
      <w:pPr>
        <w:pStyle w:val="Ruller4"/>
        <w:rPr>
          <w:rtl/>
        </w:rPr>
      </w:pPr>
      <w:r w:rsidRPr="00531BD3">
        <w:rPr>
          <w:rFonts w:hint="cs"/>
          <w:rtl/>
        </w:rPr>
        <w:t xml:space="preserve">נזכיר במאמר מוסגר כי </w:t>
      </w:r>
      <w:r w:rsidRPr="00531BD3">
        <w:rPr>
          <w:rFonts w:ascii="Century" w:hAnsi="Century" w:cs="Miriam"/>
          <w:b/>
          <w:spacing w:val="0"/>
          <w:sz w:val="22"/>
          <w:szCs w:val="24"/>
          <w:rtl/>
        </w:rPr>
        <w:t xml:space="preserve">חובת </w:t>
      </w:r>
      <w:r w:rsidRPr="00531BD3">
        <w:rPr>
          <w:rFonts w:ascii="Century" w:hAnsi="Century" w:cs="Miriam" w:hint="cs"/>
          <w:b/>
          <w:spacing w:val="0"/>
          <w:sz w:val="22"/>
          <w:szCs w:val="24"/>
          <w:rtl/>
        </w:rPr>
        <w:t>ה</w:t>
      </w:r>
      <w:r w:rsidRPr="00531BD3">
        <w:rPr>
          <w:rFonts w:ascii="Century" w:hAnsi="Century" w:cs="Miriam"/>
          <w:b/>
          <w:spacing w:val="0"/>
          <w:sz w:val="22"/>
          <w:szCs w:val="24"/>
          <w:rtl/>
        </w:rPr>
        <w:t>אמונים</w:t>
      </w:r>
      <w:r w:rsidRPr="00531BD3">
        <w:rPr>
          <w:rtl/>
        </w:rPr>
        <w:t xml:space="preserve"> </w:t>
      </w:r>
      <w:r w:rsidRPr="00531BD3">
        <w:rPr>
          <w:rFonts w:hint="cs"/>
          <w:rtl/>
        </w:rPr>
        <w:t xml:space="preserve">החלה על נושא המשרה, בשל מעמדו המיוחד בתאגיד, מחייבת אותו </w:t>
      </w:r>
      <w:r w:rsidRPr="00531BD3">
        <w:rPr>
          <w:rtl/>
        </w:rPr>
        <w:t>לפעול בתום לב ולטובת החברה (</w:t>
      </w:r>
      <w:r w:rsidRPr="00531BD3">
        <w:rPr>
          <w:rFonts w:hint="cs"/>
          <w:rtl/>
        </w:rPr>
        <w:t>סעיף 254 לחוק החברות). חובת האמונים הינה דינמית באופייה ובעלת פנים שונות. היא עשויה להתבטא</w:t>
      </w:r>
      <w:r w:rsidRPr="00531BD3">
        <w:rPr>
          <w:rtl/>
        </w:rPr>
        <w:t xml:space="preserve"> </w:t>
      </w:r>
      <w:r w:rsidRPr="00531BD3">
        <w:rPr>
          <w:rFonts w:hint="cs"/>
          <w:rtl/>
        </w:rPr>
        <w:t>ב</w:t>
      </w:r>
      <w:r w:rsidRPr="00531BD3">
        <w:rPr>
          <w:rtl/>
        </w:rPr>
        <w:t>מובנים שונים בהתחשב ב</w:t>
      </w:r>
      <w:r w:rsidRPr="00531BD3">
        <w:rPr>
          <w:rFonts w:hint="cs"/>
          <w:rtl/>
        </w:rPr>
        <w:t>אופי ובטיב</w:t>
      </w:r>
      <w:r w:rsidRPr="00531BD3">
        <w:rPr>
          <w:rtl/>
        </w:rPr>
        <w:t xml:space="preserve"> ה</w:t>
      </w:r>
      <w:r w:rsidRPr="00531BD3">
        <w:rPr>
          <w:rFonts w:hint="cs"/>
          <w:rtl/>
        </w:rPr>
        <w:t>פעילות הקונקרטית (</w:t>
      </w:r>
      <w:r w:rsidRPr="00531BD3">
        <w:rPr>
          <w:rFonts w:hint="eastAsia"/>
          <w:rtl/>
        </w:rPr>
        <w:t>ע</w:t>
      </w:r>
      <w:r w:rsidRPr="00531BD3">
        <w:rPr>
          <w:rFonts w:hint="cs"/>
          <w:rtl/>
        </w:rPr>
        <w:t>"</w:t>
      </w:r>
      <w:r w:rsidRPr="00531BD3">
        <w:rPr>
          <w:rFonts w:hint="eastAsia"/>
          <w:rtl/>
        </w:rPr>
        <w:t>א</w:t>
      </w:r>
      <w:r w:rsidRPr="00531BD3">
        <w:rPr>
          <w:rtl/>
        </w:rPr>
        <w:t xml:space="preserve"> 7735/14</w:t>
      </w:r>
      <w:r w:rsidRPr="00531BD3">
        <w:rPr>
          <w:rFonts w:hint="cs"/>
          <w:rtl/>
        </w:rPr>
        <w:t xml:space="preserve"> </w:t>
      </w:r>
      <w:proofErr w:type="spellStart"/>
      <w:r w:rsidRPr="00531BD3">
        <w:rPr>
          <w:rFonts w:ascii="Century" w:hAnsi="Century" w:cs="Miriam" w:hint="eastAsia"/>
          <w:b/>
          <w:spacing w:val="0"/>
          <w:sz w:val="22"/>
          <w:szCs w:val="24"/>
          <w:rtl/>
        </w:rPr>
        <w:t>ורדניקוב</w:t>
      </w:r>
      <w:proofErr w:type="spellEnd"/>
      <w:r w:rsidRPr="00531BD3">
        <w:rPr>
          <w:rFonts w:ascii="Century" w:hAnsi="Century" w:cs="Miriam"/>
          <w:b/>
          <w:spacing w:val="0"/>
          <w:sz w:val="22"/>
          <w:szCs w:val="24"/>
          <w:rtl/>
        </w:rPr>
        <w:t xml:space="preserve"> </w:t>
      </w:r>
      <w:r w:rsidRPr="00531BD3">
        <w:rPr>
          <w:rFonts w:ascii="Century" w:hAnsi="Century" w:cs="Miriam" w:hint="eastAsia"/>
          <w:b/>
          <w:spacing w:val="0"/>
          <w:sz w:val="22"/>
          <w:szCs w:val="24"/>
          <w:rtl/>
        </w:rPr>
        <w:t>נ</w:t>
      </w:r>
      <w:r w:rsidRPr="00531BD3">
        <w:rPr>
          <w:rFonts w:ascii="Century" w:hAnsi="Century" w:cs="Miriam"/>
          <w:b/>
          <w:spacing w:val="0"/>
          <w:sz w:val="22"/>
          <w:szCs w:val="24"/>
          <w:rtl/>
        </w:rPr>
        <w:t xml:space="preserve">' </w:t>
      </w:r>
      <w:proofErr w:type="spellStart"/>
      <w:r w:rsidRPr="00531BD3">
        <w:rPr>
          <w:rFonts w:ascii="Century" w:hAnsi="Century" w:cs="Miriam" w:hint="eastAsia"/>
          <w:b/>
          <w:spacing w:val="0"/>
          <w:sz w:val="22"/>
          <w:szCs w:val="24"/>
          <w:rtl/>
        </w:rPr>
        <w:t>אלובי</w:t>
      </w:r>
      <w:r w:rsidRPr="00531BD3">
        <w:rPr>
          <w:rFonts w:ascii="Century" w:hAnsi="Century" w:cs="Miriam" w:hint="cs"/>
          <w:b/>
          <w:spacing w:val="0"/>
          <w:sz w:val="22"/>
          <w:szCs w:val="24"/>
          <w:rtl/>
        </w:rPr>
        <w:t>ץ</w:t>
      </w:r>
      <w:proofErr w:type="spellEnd"/>
      <w:r w:rsidRPr="00531BD3">
        <w:rPr>
          <w:rFonts w:hint="cs"/>
          <w:rtl/>
        </w:rPr>
        <w:t>,</w:t>
      </w:r>
      <w:r w:rsidRPr="00531BD3">
        <w:rPr>
          <w:rtl/>
        </w:rPr>
        <w:t xml:space="preserve"> </w:t>
      </w:r>
      <w:r w:rsidRPr="00531BD3">
        <w:rPr>
          <w:rFonts w:hint="cs"/>
          <w:rtl/>
        </w:rPr>
        <w:t xml:space="preserve">פסקה 51 (28.12.2016) (להלן: עניין </w:t>
      </w:r>
      <w:proofErr w:type="spellStart"/>
      <w:r w:rsidRPr="00531BD3">
        <w:rPr>
          <w:rFonts w:ascii="Century" w:hAnsi="Century" w:cs="Miriam" w:hint="cs"/>
          <w:b/>
          <w:spacing w:val="0"/>
          <w:sz w:val="22"/>
          <w:szCs w:val="24"/>
          <w:rtl/>
        </w:rPr>
        <w:t>ורדניקוב</w:t>
      </w:r>
      <w:proofErr w:type="spellEnd"/>
      <w:r w:rsidRPr="00531BD3">
        <w:rPr>
          <w:rFonts w:hint="cs"/>
          <w:rtl/>
        </w:rPr>
        <w:t xml:space="preserve">); </w:t>
      </w:r>
      <w:r w:rsidRPr="00531BD3">
        <w:rPr>
          <w:rFonts w:hint="eastAsia"/>
          <w:rtl/>
        </w:rPr>
        <w:t>ע</w:t>
      </w:r>
      <w:r w:rsidRPr="00531BD3">
        <w:rPr>
          <w:rFonts w:hint="cs"/>
          <w:rtl/>
        </w:rPr>
        <w:t>"</w:t>
      </w:r>
      <w:r w:rsidRPr="00531BD3">
        <w:rPr>
          <w:rFonts w:hint="eastAsia"/>
          <w:rtl/>
        </w:rPr>
        <w:t>פ</w:t>
      </w:r>
      <w:r w:rsidRPr="00531BD3">
        <w:rPr>
          <w:rtl/>
        </w:rPr>
        <w:t xml:space="preserve"> 6790/18</w:t>
      </w:r>
      <w:r w:rsidRPr="00531BD3">
        <w:rPr>
          <w:rFonts w:hint="cs"/>
          <w:rtl/>
        </w:rPr>
        <w:t xml:space="preserve"> </w:t>
      </w:r>
      <w:proofErr w:type="spellStart"/>
      <w:r w:rsidRPr="00531BD3">
        <w:rPr>
          <w:rFonts w:ascii="Century" w:hAnsi="Century" w:cs="Miriam" w:hint="eastAsia"/>
          <w:b/>
          <w:spacing w:val="0"/>
          <w:szCs w:val="24"/>
          <w:rtl/>
        </w:rPr>
        <w:t>טטרו</w:t>
      </w:r>
      <w:proofErr w:type="spellEnd"/>
      <w:r w:rsidRPr="00531BD3">
        <w:rPr>
          <w:rFonts w:ascii="Century" w:hAnsi="Century" w:cs="Miriam"/>
          <w:b/>
          <w:spacing w:val="0"/>
          <w:szCs w:val="24"/>
          <w:rtl/>
        </w:rPr>
        <w:t xml:space="preserve"> </w:t>
      </w:r>
      <w:r w:rsidRPr="00531BD3">
        <w:rPr>
          <w:rFonts w:ascii="Century" w:hAnsi="Century" w:cs="Miriam" w:hint="eastAsia"/>
          <w:b/>
          <w:spacing w:val="0"/>
          <w:szCs w:val="24"/>
          <w:rtl/>
        </w:rPr>
        <w:t>נ</w:t>
      </w:r>
      <w:r w:rsidRPr="00531BD3">
        <w:rPr>
          <w:rFonts w:ascii="Century" w:hAnsi="Century" w:cs="Miriam"/>
          <w:b/>
          <w:spacing w:val="0"/>
          <w:szCs w:val="24"/>
          <w:rtl/>
        </w:rPr>
        <w:t xml:space="preserve">' </w:t>
      </w:r>
      <w:r w:rsidRPr="00531BD3">
        <w:rPr>
          <w:rFonts w:ascii="Century" w:hAnsi="Century" w:cs="Miriam" w:hint="eastAsia"/>
          <w:b/>
          <w:spacing w:val="0"/>
          <w:szCs w:val="24"/>
          <w:rtl/>
        </w:rPr>
        <w:t>מדינת</w:t>
      </w:r>
      <w:r w:rsidRPr="00531BD3">
        <w:rPr>
          <w:rFonts w:ascii="Century" w:hAnsi="Century" w:cs="Miriam"/>
          <w:b/>
          <w:spacing w:val="0"/>
          <w:szCs w:val="24"/>
          <w:rtl/>
        </w:rPr>
        <w:t xml:space="preserve"> </w:t>
      </w:r>
      <w:r w:rsidRPr="00531BD3">
        <w:rPr>
          <w:rFonts w:ascii="Century" w:hAnsi="Century" w:cs="Miriam" w:hint="eastAsia"/>
          <w:b/>
          <w:spacing w:val="0"/>
          <w:szCs w:val="24"/>
          <w:rtl/>
        </w:rPr>
        <w:t>ישראל</w:t>
      </w:r>
      <w:r w:rsidRPr="00531BD3">
        <w:rPr>
          <w:rFonts w:hint="cs"/>
          <w:rtl/>
        </w:rPr>
        <w:t xml:space="preserve">, פסקה 31 (29.7.2020) (להלן: עניין </w:t>
      </w:r>
      <w:proofErr w:type="spellStart"/>
      <w:r w:rsidRPr="00531BD3">
        <w:rPr>
          <w:rFonts w:ascii="Century" w:hAnsi="Century" w:cs="Miriam" w:hint="cs"/>
          <w:b/>
          <w:spacing w:val="0"/>
          <w:sz w:val="22"/>
          <w:szCs w:val="24"/>
          <w:rtl/>
        </w:rPr>
        <w:t>טטרו</w:t>
      </w:r>
      <w:proofErr w:type="spellEnd"/>
      <w:r w:rsidRPr="00531BD3">
        <w:rPr>
          <w:rFonts w:hint="cs"/>
          <w:rtl/>
        </w:rPr>
        <w:t xml:space="preserve">)). על ענפיה השונים, היקפה ותוכנה נכתב רבות, ולא נאריך בקשר לכך במסגרת זו (וראו לשם הדוגמה: </w:t>
      </w:r>
      <w:r w:rsidRPr="00531BD3">
        <w:rPr>
          <w:rFonts w:hint="eastAsia"/>
          <w:rtl/>
        </w:rPr>
        <w:t>אירית</w:t>
      </w:r>
      <w:r w:rsidRPr="00531BD3">
        <w:rPr>
          <w:rtl/>
        </w:rPr>
        <w:t xml:space="preserve"> </w:t>
      </w:r>
      <w:r w:rsidRPr="00531BD3">
        <w:rPr>
          <w:rFonts w:hint="eastAsia"/>
          <w:rtl/>
        </w:rPr>
        <w:t>חביב</w:t>
      </w:r>
      <w:r w:rsidRPr="00531BD3">
        <w:rPr>
          <w:rtl/>
        </w:rPr>
        <w:t>-</w:t>
      </w:r>
      <w:r w:rsidRPr="00531BD3">
        <w:rPr>
          <w:rFonts w:hint="eastAsia"/>
          <w:rtl/>
        </w:rPr>
        <w:t>סגל</w:t>
      </w:r>
      <w:r w:rsidRPr="00531BD3">
        <w:rPr>
          <w:rtl/>
        </w:rPr>
        <w:t xml:space="preserve"> </w:t>
      </w:r>
      <w:r w:rsidRPr="00531BD3">
        <w:rPr>
          <w:rFonts w:ascii="Century" w:hAnsi="Century" w:cs="Miriam" w:hint="eastAsia"/>
          <w:b/>
          <w:spacing w:val="0"/>
          <w:sz w:val="22"/>
          <w:szCs w:val="24"/>
          <w:rtl/>
        </w:rPr>
        <w:t>דיני</w:t>
      </w:r>
      <w:r w:rsidRPr="00531BD3">
        <w:rPr>
          <w:rFonts w:ascii="Century" w:hAnsi="Century" w:cs="Miriam"/>
          <w:b/>
          <w:spacing w:val="0"/>
          <w:sz w:val="22"/>
          <w:szCs w:val="24"/>
          <w:rtl/>
        </w:rPr>
        <w:t xml:space="preserve"> </w:t>
      </w:r>
      <w:r w:rsidRPr="00531BD3">
        <w:rPr>
          <w:rFonts w:ascii="Century" w:hAnsi="Century" w:cs="Miriam" w:hint="eastAsia"/>
          <w:b/>
          <w:spacing w:val="0"/>
          <w:sz w:val="22"/>
          <w:szCs w:val="24"/>
          <w:rtl/>
        </w:rPr>
        <w:t>חברות</w:t>
      </w:r>
      <w:r w:rsidRPr="00531BD3">
        <w:rPr>
          <w:rFonts w:ascii="Century" w:hAnsi="Century" w:cs="Miriam"/>
          <w:b/>
          <w:spacing w:val="0"/>
          <w:sz w:val="22"/>
          <w:szCs w:val="24"/>
          <w:rtl/>
        </w:rPr>
        <w:t xml:space="preserve"> </w:t>
      </w:r>
      <w:r w:rsidRPr="00531BD3">
        <w:rPr>
          <w:rFonts w:hint="eastAsia"/>
          <w:rtl/>
        </w:rPr>
        <w:t>כרך</w:t>
      </w:r>
      <w:r w:rsidRPr="00531BD3">
        <w:rPr>
          <w:rtl/>
        </w:rPr>
        <w:t xml:space="preserve"> </w:t>
      </w:r>
      <w:r w:rsidRPr="00531BD3">
        <w:rPr>
          <w:rFonts w:hint="eastAsia"/>
          <w:rtl/>
        </w:rPr>
        <w:t>א</w:t>
      </w:r>
      <w:r w:rsidRPr="00531BD3">
        <w:rPr>
          <w:rtl/>
        </w:rPr>
        <w:t xml:space="preserve"> 511-491 (2007); </w:t>
      </w:r>
      <w:r w:rsidRPr="00531BD3">
        <w:rPr>
          <w:rFonts w:hint="eastAsia"/>
          <w:rtl/>
        </w:rPr>
        <w:t>יוסף</w:t>
      </w:r>
      <w:r w:rsidRPr="00531BD3">
        <w:rPr>
          <w:rtl/>
        </w:rPr>
        <w:t xml:space="preserve"> </w:t>
      </w:r>
      <w:r w:rsidRPr="00531BD3">
        <w:rPr>
          <w:rFonts w:hint="eastAsia"/>
          <w:rtl/>
        </w:rPr>
        <w:t>גרוס</w:t>
      </w:r>
      <w:r w:rsidRPr="00531BD3">
        <w:rPr>
          <w:rtl/>
        </w:rPr>
        <w:t xml:space="preserve"> </w:t>
      </w:r>
      <w:r w:rsidRPr="00531BD3">
        <w:rPr>
          <w:rFonts w:ascii="Century" w:hAnsi="Century" w:cs="Miriam" w:hint="eastAsia"/>
          <w:b/>
          <w:spacing w:val="0"/>
          <w:sz w:val="22"/>
          <w:szCs w:val="24"/>
          <w:rtl/>
        </w:rPr>
        <w:t>חוק</w:t>
      </w:r>
      <w:r w:rsidRPr="00531BD3">
        <w:rPr>
          <w:rFonts w:ascii="Century" w:hAnsi="Century" w:cs="Miriam"/>
          <w:b/>
          <w:spacing w:val="0"/>
          <w:sz w:val="22"/>
          <w:szCs w:val="24"/>
          <w:rtl/>
        </w:rPr>
        <w:t xml:space="preserve"> </w:t>
      </w:r>
      <w:r w:rsidRPr="00531BD3">
        <w:rPr>
          <w:rFonts w:ascii="Century" w:hAnsi="Century" w:cs="Miriam" w:hint="eastAsia"/>
          <w:b/>
          <w:spacing w:val="0"/>
          <w:sz w:val="22"/>
          <w:szCs w:val="24"/>
          <w:rtl/>
        </w:rPr>
        <w:t>החברות</w:t>
      </w:r>
      <w:r w:rsidRPr="00531BD3">
        <w:rPr>
          <w:rFonts w:hint="cs"/>
          <w:rtl/>
        </w:rPr>
        <w:t xml:space="preserve"> </w:t>
      </w:r>
      <w:r w:rsidRPr="00531BD3">
        <w:rPr>
          <w:rFonts w:hint="eastAsia"/>
          <w:rtl/>
        </w:rPr>
        <w:t>כרך</w:t>
      </w:r>
      <w:r w:rsidRPr="00531BD3">
        <w:rPr>
          <w:rtl/>
        </w:rPr>
        <w:t xml:space="preserve"> </w:t>
      </w:r>
      <w:r w:rsidRPr="00531BD3">
        <w:rPr>
          <w:rFonts w:hint="eastAsia"/>
          <w:rtl/>
        </w:rPr>
        <w:t>א</w:t>
      </w:r>
      <w:r w:rsidRPr="00531BD3">
        <w:rPr>
          <w:rtl/>
        </w:rPr>
        <w:t xml:space="preserve"> </w:t>
      </w:r>
      <w:r w:rsidRPr="00531BD3">
        <w:rPr>
          <w:rFonts w:hint="cs"/>
          <w:rtl/>
        </w:rPr>
        <w:t xml:space="preserve">616-587 </w:t>
      </w:r>
      <w:r w:rsidRPr="00531BD3">
        <w:rPr>
          <w:rtl/>
        </w:rPr>
        <w:t>(</w:t>
      </w:r>
      <w:r w:rsidRPr="00531BD3">
        <w:rPr>
          <w:rFonts w:hint="eastAsia"/>
          <w:rtl/>
        </w:rPr>
        <w:t>מהדורה</w:t>
      </w:r>
      <w:r w:rsidRPr="00531BD3">
        <w:rPr>
          <w:rtl/>
        </w:rPr>
        <w:t xml:space="preserve"> </w:t>
      </w:r>
      <w:r w:rsidRPr="00531BD3">
        <w:rPr>
          <w:rFonts w:hint="eastAsia"/>
          <w:rtl/>
        </w:rPr>
        <w:t>חמישית</w:t>
      </w:r>
      <w:r w:rsidRPr="00531BD3">
        <w:rPr>
          <w:rtl/>
        </w:rPr>
        <w:t>, 2016)</w:t>
      </w:r>
      <w:r w:rsidRPr="00531BD3">
        <w:rPr>
          <w:rFonts w:hint="cs"/>
          <w:rtl/>
        </w:rPr>
        <w:t xml:space="preserve">; </w:t>
      </w:r>
      <w:r w:rsidRPr="00531BD3">
        <w:rPr>
          <w:rFonts w:ascii="Century" w:hAnsi="Century" w:cs="Miriam" w:hint="cs"/>
          <w:b/>
          <w:spacing w:val="0"/>
          <w:sz w:val="22"/>
          <w:szCs w:val="24"/>
          <w:rtl/>
        </w:rPr>
        <w:t>גרוס,</w:t>
      </w:r>
      <w:r w:rsidRPr="00531BD3">
        <w:rPr>
          <w:rFonts w:hint="cs"/>
          <w:rtl/>
        </w:rPr>
        <w:t xml:space="preserve"> </w:t>
      </w:r>
      <w:r w:rsidRPr="00531BD3">
        <w:rPr>
          <w:rFonts w:ascii="Century" w:hAnsi="Century" w:cs="Miriam" w:hint="cs"/>
          <w:b/>
          <w:spacing w:val="0"/>
          <w:sz w:val="22"/>
          <w:szCs w:val="24"/>
          <w:rtl/>
        </w:rPr>
        <w:t>ד</w:t>
      </w:r>
      <w:r w:rsidRPr="00531BD3">
        <w:rPr>
          <w:rFonts w:ascii="Century" w:hAnsi="Century" w:cs="Miriam" w:hint="eastAsia"/>
          <w:b/>
          <w:spacing w:val="0"/>
          <w:sz w:val="22"/>
          <w:szCs w:val="24"/>
          <w:rtl/>
        </w:rPr>
        <w:t>ירקטורים</w:t>
      </w:r>
      <w:r w:rsidRPr="00531BD3">
        <w:rPr>
          <w:rFonts w:ascii="Century" w:hAnsi="Century" w:cs="Miriam"/>
          <w:b/>
          <w:spacing w:val="0"/>
          <w:sz w:val="22"/>
          <w:szCs w:val="24"/>
          <w:rtl/>
        </w:rPr>
        <w:t xml:space="preserve"> </w:t>
      </w:r>
      <w:r w:rsidRPr="00531BD3">
        <w:rPr>
          <w:rFonts w:ascii="Century" w:hAnsi="Century" w:cs="Miriam" w:hint="eastAsia"/>
          <w:b/>
          <w:spacing w:val="0"/>
          <w:sz w:val="22"/>
          <w:szCs w:val="24"/>
          <w:rtl/>
        </w:rPr>
        <w:t>ונושאי</w:t>
      </w:r>
      <w:r w:rsidRPr="00531BD3">
        <w:rPr>
          <w:rFonts w:ascii="Century" w:hAnsi="Century" w:cs="Miriam"/>
          <w:b/>
          <w:spacing w:val="0"/>
          <w:sz w:val="22"/>
          <w:szCs w:val="24"/>
          <w:rtl/>
        </w:rPr>
        <w:t xml:space="preserve"> </w:t>
      </w:r>
      <w:r w:rsidRPr="00531BD3">
        <w:rPr>
          <w:rFonts w:ascii="Century" w:hAnsi="Century" w:cs="Miriam" w:hint="eastAsia"/>
          <w:b/>
          <w:spacing w:val="0"/>
          <w:sz w:val="22"/>
          <w:szCs w:val="24"/>
          <w:rtl/>
        </w:rPr>
        <w:t>משרה</w:t>
      </w:r>
      <w:r w:rsidRPr="00531BD3">
        <w:rPr>
          <w:rFonts w:ascii="Century" w:hAnsi="Century" w:cs="Miriam"/>
          <w:b/>
          <w:spacing w:val="0"/>
          <w:sz w:val="22"/>
          <w:szCs w:val="24"/>
          <w:rtl/>
        </w:rPr>
        <w:t xml:space="preserve"> </w:t>
      </w:r>
      <w:r w:rsidRPr="00531BD3">
        <w:rPr>
          <w:rFonts w:hint="cs"/>
          <w:rtl/>
        </w:rPr>
        <w:t xml:space="preserve">333-295; </w:t>
      </w:r>
      <w:r w:rsidRPr="00531BD3">
        <w:rPr>
          <w:rFonts w:hint="eastAsia"/>
          <w:rtl/>
        </w:rPr>
        <w:t>עמיר</w:t>
      </w:r>
      <w:r w:rsidRPr="00531BD3">
        <w:rPr>
          <w:rtl/>
        </w:rPr>
        <w:t xml:space="preserve"> </w:t>
      </w:r>
      <w:proofErr w:type="spellStart"/>
      <w:r w:rsidRPr="00531BD3">
        <w:rPr>
          <w:rFonts w:hint="eastAsia"/>
          <w:rtl/>
        </w:rPr>
        <w:t>ליכט</w:t>
      </w:r>
      <w:proofErr w:type="spellEnd"/>
      <w:r w:rsidRPr="00531BD3">
        <w:rPr>
          <w:rtl/>
        </w:rPr>
        <w:t xml:space="preserve"> </w:t>
      </w:r>
      <w:r w:rsidRPr="00531BD3">
        <w:rPr>
          <w:rFonts w:ascii="Century" w:hAnsi="Century" w:cs="Miriam" w:hint="eastAsia"/>
          <w:b/>
          <w:spacing w:val="0"/>
          <w:sz w:val="22"/>
          <w:szCs w:val="24"/>
          <w:rtl/>
        </w:rPr>
        <w:t>דיני</w:t>
      </w:r>
      <w:r w:rsidRPr="00531BD3">
        <w:rPr>
          <w:rFonts w:ascii="Century" w:hAnsi="Century" w:cs="Miriam"/>
          <w:b/>
          <w:spacing w:val="0"/>
          <w:sz w:val="22"/>
          <w:szCs w:val="24"/>
          <w:rtl/>
        </w:rPr>
        <w:t xml:space="preserve"> </w:t>
      </w:r>
      <w:proofErr w:type="spellStart"/>
      <w:r w:rsidRPr="00531BD3">
        <w:rPr>
          <w:rFonts w:ascii="Century" w:hAnsi="Century" w:cs="Miriam" w:hint="eastAsia"/>
          <w:b/>
          <w:spacing w:val="0"/>
          <w:sz w:val="22"/>
          <w:szCs w:val="24"/>
          <w:rtl/>
        </w:rPr>
        <w:t>אמונאות</w:t>
      </w:r>
      <w:proofErr w:type="spellEnd"/>
      <w:r w:rsidRPr="00531BD3">
        <w:rPr>
          <w:rFonts w:ascii="Century" w:hAnsi="Century" w:cs="Miriam"/>
          <w:b/>
          <w:spacing w:val="0"/>
          <w:sz w:val="22"/>
          <w:szCs w:val="24"/>
          <w:rtl/>
        </w:rPr>
        <w:t xml:space="preserve">: </w:t>
      </w:r>
      <w:r w:rsidRPr="00531BD3">
        <w:rPr>
          <w:rFonts w:ascii="Century" w:hAnsi="Century" w:cs="Miriam" w:hint="eastAsia"/>
          <w:b/>
          <w:spacing w:val="0"/>
          <w:sz w:val="22"/>
          <w:szCs w:val="24"/>
          <w:rtl/>
        </w:rPr>
        <w:t>חובת</w:t>
      </w:r>
      <w:r w:rsidRPr="00531BD3">
        <w:rPr>
          <w:rFonts w:ascii="Century" w:hAnsi="Century" w:cs="Miriam"/>
          <w:b/>
          <w:spacing w:val="0"/>
          <w:sz w:val="22"/>
          <w:szCs w:val="24"/>
          <w:rtl/>
        </w:rPr>
        <w:t xml:space="preserve"> </w:t>
      </w:r>
      <w:r w:rsidRPr="00531BD3">
        <w:rPr>
          <w:rFonts w:ascii="Century" w:hAnsi="Century" w:cs="Miriam" w:hint="eastAsia"/>
          <w:b/>
          <w:spacing w:val="0"/>
          <w:sz w:val="22"/>
          <w:szCs w:val="24"/>
          <w:rtl/>
        </w:rPr>
        <w:t>האמונים</w:t>
      </w:r>
      <w:r w:rsidRPr="00531BD3">
        <w:rPr>
          <w:rFonts w:ascii="Century" w:hAnsi="Century" w:cs="Miriam"/>
          <w:b/>
          <w:spacing w:val="0"/>
          <w:sz w:val="22"/>
          <w:szCs w:val="24"/>
          <w:rtl/>
        </w:rPr>
        <w:t xml:space="preserve"> </w:t>
      </w:r>
      <w:r w:rsidRPr="00531BD3">
        <w:rPr>
          <w:rFonts w:ascii="Century" w:hAnsi="Century" w:cs="Miriam" w:hint="eastAsia"/>
          <w:b/>
          <w:spacing w:val="0"/>
          <w:sz w:val="22"/>
          <w:szCs w:val="24"/>
          <w:rtl/>
        </w:rPr>
        <w:t>בתאגיד</w:t>
      </w:r>
      <w:r w:rsidRPr="00531BD3">
        <w:rPr>
          <w:rFonts w:ascii="Century" w:hAnsi="Century" w:cs="Miriam"/>
          <w:b/>
          <w:spacing w:val="0"/>
          <w:sz w:val="22"/>
          <w:szCs w:val="24"/>
          <w:rtl/>
        </w:rPr>
        <w:t xml:space="preserve"> </w:t>
      </w:r>
      <w:r w:rsidRPr="00531BD3">
        <w:rPr>
          <w:rFonts w:ascii="Century" w:hAnsi="Century" w:cs="Miriam" w:hint="eastAsia"/>
          <w:b/>
          <w:spacing w:val="0"/>
          <w:sz w:val="22"/>
          <w:szCs w:val="24"/>
          <w:rtl/>
        </w:rPr>
        <w:t>ובדין</w:t>
      </w:r>
      <w:r w:rsidRPr="00531BD3">
        <w:rPr>
          <w:rFonts w:ascii="Century" w:hAnsi="Century" w:cs="Miriam"/>
          <w:b/>
          <w:spacing w:val="0"/>
          <w:sz w:val="22"/>
          <w:szCs w:val="24"/>
          <w:rtl/>
        </w:rPr>
        <w:t xml:space="preserve"> </w:t>
      </w:r>
      <w:r w:rsidRPr="00531BD3">
        <w:rPr>
          <w:rFonts w:ascii="Century" w:hAnsi="Century" w:cs="Miriam" w:hint="eastAsia"/>
          <w:b/>
          <w:spacing w:val="0"/>
          <w:sz w:val="22"/>
          <w:szCs w:val="24"/>
          <w:rtl/>
        </w:rPr>
        <w:t>הכללי</w:t>
      </w:r>
      <w:r w:rsidRPr="00531BD3">
        <w:rPr>
          <w:rtl/>
        </w:rPr>
        <w:t xml:space="preserve"> 154-145 (2013)</w:t>
      </w:r>
      <w:r w:rsidRPr="00531BD3">
        <w:rPr>
          <w:rFonts w:hint="cs"/>
          <w:rtl/>
        </w:rPr>
        <w:t>).</w:t>
      </w:r>
      <w:r w:rsidRPr="00531BD3">
        <w:rPr>
          <w:rtl/>
        </w:rPr>
        <w:t xml:space="preserve"> </w:t>
      </w:r>
      <w:r w:rsidRPr="00531BD3">
        <w:rPr>
          <w:rFonts w:hint="cs"/>
          <w:rtl/>
        </w:rPr>
        <w:t xml:space="preserve">עם זאת, נציין כי </w:t>
      </w:r>
      <w:r w:rsidRPr="00531BD3">
        <w:rPr>
          <w:rFonts w:ascii="FrankRuehl" w:hAnsi="FrankRuehl" w:hint="cs"/>
          <w:color w:val="000000"/>
          <w:sz w:val="28"/>
          <w:rtl/>
        </w:rPr>
        <w:t xml:space="preserve">על פי הוראת סעיף 254 לחוק החברות, </w:t>
      </w:r>
      <w:r w:rsidRPr="00531BD3">
        <w:rPr>
          <w:rFonts w:hint="cs"/>
          <w:rtl/>
        </w:rPr>
        <w:t>מחובת האמונים נגזרת בין היתר החובה להימנע מ</w:t>
      </w:r>
      <w:r w:rsidRPr="00531BD3">
        <w:rPr>
          <w:rtl/>
        </w:rPr>
        <w:t xml:space="preserve">כל פעולה שיש בה ניגוד עניינים בין </w:t>
      </w:r>
      <w:r w:rsidRPr="00531BD3">
        <w:rPr>
          <w:rFonts w:hint="cs"/>
          <w:rtl/>
        </w:rPr>
        <w:t xml:space="preserve">העניין </w:t>
      </w:r>
      <w:r w:rsidRPr="00531BD3">
        <w:rPr>
          <w:rtl/>
        </w:rPr>
        <w:t>האישי ל</w:t>
      </w:r>
      <w:r w:rsidRPr="00531BD3">
        <w:rPr>
          <w:rFonts w:hint="eastAsia"/>
          <w:rtl/>
        </w:rPr>
        <w:t>בין</w:t>
      </w:r>
      <w:r w:rsidRPr="00531BD3">
        <w:rPr>
          <w:rtl/>
        </w:rPr>
        <w:t xml:space="preserve"> </w:t>
      </w:r>
      <w:r w:rsidRPr="00531BD3">
        <w:rPr>
          <w:rFonts w:hint="eastAsia"/>
          <w:rtl/>
        </w:rPr>
        <w:t>טובת</w:t>
      </w:r>
      <w:r w:rsidRPr="00531BD3">
        <w:rPr>
          <w:rtl/>
        </w:rPr>
        <w:t xml:space="preserve"> </w:t>
      </w:r>
      <w:r w:rsidRPr="00531BD3">
        <w:rPr>
          <w:rFonts w:hint="eastAsia"/>
          <w:rtl/>
        </w:rPr>
        <w:t>החברה</w:t>
      </w:r>
      <w:r w:rsidRPr="00531BD3">
        <w:rPr>
          <w:rtl/>
        </w:rPr>
        <w:t xml:space="preserve">; </w:t>
      </w:r>
      <w:r w:rsidRPr="00531BD3">
        <w:rPr>
          <w:rFonts w:hint="cs"/>
          <w:rtl/>
        </w:rPr>
        <w:t xml:space="preserve">החובה להימנע </w:t>
      </w:r>
      <w:r w:rsidRPr="00531BD3">
        <w:rPr>
          <w:rFonts w:hint="eastAsia"/>
          <w:rtl/>
        </w:rPr>
        <w:t>מתחרות</w:t>
      </w:r>
      <w:r w:rsidRPr="00531BD3">
        <w:rPr>
          <w:rtl/>
        </w:rPr>
        <w:t xml:space="preserve"> </w:t>
      </w:r>
      <w:r w:rsidRPr="00531BD3">
        <w:rPr>
          <w:rFonts w:hint="eastAsia"/>
          <w:rtl/>
        </w:rPr>
        <w:t>עם</w:t>
      </w:r>
      <w:r w:rsidRPr="00531BD3">
        <w:rPr>
          <w:rtl/>
        </w:rPr>
        <w:t xml:space="preserve"> </w:t>
      </w:r>
      <w:r w:rsidRPr="00531BD3">
        <w:rPr>
          <w:rFonts w:hint="eastAsia"/>
          <w:rtl/>
        </w:rPr>
        <w:t>עסקי</w:t>
      </w:r>
      <w:r w:rsidRPr="00531BD3">
        <w:rPr>
          <w:rtl/>
        </w:rPr>
        <w:t xml:space="preserve"> </w:t>
      </w:r>
      <w:r w:rsidRPr="00531BD3">
        <w:rPr>
          <w:rFonts w:hint="eastAsia"/>
          <w:rtl/>
        </w:rPr>
        <w:t>החברה</w:t>
      </w:r>
      <w:r w:rsidRPr="00531BD3">
        <w:rPr>
          <w:rtl/>
        </w:rPr>
        <w:t xml:space="preserve">; </w:t>
      </w:r>
      <w:r w:rsidRPr="00531BD3">
        <w:rPr>
          <w:rFonts w:hint="cs"/>
          <w:rtl/>
        </w:rPr>
        <w:t xml:space="preserve">החובה להימנע </w:t>
      </w:r>
      <w:r w:rsidRPr="00531BD3">
        <w:rPr>
          <w:rtl/>
        </w:rPr>
        <w:t xml:space="preserve">מניצול הזדמנות עסקית של החברה; והחובה לגלות לחברה כל מסמך הנוגע לענייניה שבא לידיו </w:t>
      </w:r>
      <w:r w:rsidRPr="00531BD3">
        <w:rPr>
          <w:rFonts w:hint="cs"/>
          <w:rtl/>
        </w:rPr>
        <w:t xml:space="preserve">של נושא המשרה </w:t>
      </w:r>
      <w:r w:rsidRPr="00531BD3">
        <w:rPr>
          <w:rtl/>
        </w:rPr>
        <w:t>מתוקף תפקידו בחברה.</w:t>
      </w:r>
      <w:r w:rsidRPr="00531BD3">
        <w:rPr>
          <w:rFonts w:hint="cs"/>
          <w:rtl/>
        </w:rPr>
        <w:t xml:space="preserve"> החו</w:t>
      </w:r>
      <w:r w:rsidRPr="00531BD3">
        <w:rPr>
          <w:rFonts w:ascii="FrankRuehl" w:hAnsi="FrankRuehl" w:hint="eastAsia"/>
          <w:color w:val="000000"/>
          <w:sz w:val="28"/>
          <w:rtl/>
        </w:rPr>
        <w:t>בה</w:t>
      </w:r>
      <w:r w:rsidRPr="00531BD3">
        <w:rPr>
          <w:rFonts w:ascii="FrankRuehl" w:hAnsi="FrankRuehl"/>
          <w:color w:val="000000"/>
          <w:sz w:val="28"/>
          <w:rtl/>
        </w:rPr>
        <w:t xml:space="preserve"> </w:t>
      </w:r>
      <w:r w:rsidRPr="00531BD3">
        <w:rPr>
          <w:rFonts w:ascii="FrankRuehl" w:hAnsi="FrankRuehl" w:hint="eastAsia"/>
          <w:color w:val="000000"/>
          <w:sz w:val="28"/>
          <w:rtl/>
        </w:rPr>
        <w:t>להימנע</w:t>
      </w:r>
      <w:r w:rsidRPr="00531BD3">
        <w:rPr>
          <w:rFonts w:ascii="FrankRuehl" w:hAnsi="FrankRuehl"/>
          <w:color w:val="000000"/>
          <w:sz w:val="28"/>
          <w:rtl/>
        </w:rPr>
        <w:t xml:space="preserve"> </w:t>
      </w:r>
      <w:r w:rsidRPr="00531BD3">
        <w:rPr>
          <w:rFonts w:ascii="FrankRuehl" w:hAnsi="FrankRuehl" w:hint="eastAsia"/>
          <w:color w:val="000000"/>
          <w:sz w:val="28"/>
          <w:rtl/>
        </w:rPr>
        <w:t>מלפעול</w:t>
      </w:r>
      <w:r w:rsidRPr="00531BD3">
        <w:rPr>
          <w:rFonts w:ascii="FrankRuehl" w:hAnsi="FrankRuehl"/>
          <w:color w:val="000000"/>
          <w:sz w:val="28"/>
          <w:rtl/>
        </w:rPr>
        <w:t xml:space="preserve"> </w:t>
      </w:r>
      <w:r w:rsidRPr="00531BD3">
        <w:rPr>
          <w:rFonts w:ascii="FrankRuehl" w:hAnsi="FrankRuehl" w:hint="eastAsia"/>
          <w:color w:val="000000"/>
          <w:sz w:val="28"/>
          <w:rtl/>
        </w:rPr>
        <w:t>בניגוד</w:t>
      </w:r>
      <w:r w:rsidRPr="00531BD3">
        <w:rPr>
          <w:rFonts w:ascii="FrankRuehl" w:hAnsi="FrankRuehl"/>
          <w:color w:val="000000"/>
          <w:sz w:val="28"/>
          <w:rtl/>
        </w:rPr>
        <w:t xml:space="preserve"> </w:t>
      </w:r>
      <w:r w:rsidRPr="00531BD3">
        <w:rPr>
          <w:rFonts w:ascii="FrankRuehl" w:hAnsi="FrankRuehl" w:hint="eastAsia"/>
          <w:color w:val="000000"/>
          <w:sz w:val="28"/>
          <w:rtl/>
        </w:rPr>
        <w:t>עניינים</w:t>
      </w:r>
      <w:r w:rsidRPr="00531BD3">
        <w:rPr>
          <w:rFonts w:ascii="FrankRuehl" w:hAnsi="FrankRuehl"/>
          <w:color w:val="000000"/>
          <w:sz w:val="28"/>
          <w:rtl/>
        </w:rPr>
        <w:t xml:space="preserve"> </w:t>
      </w:r>
      <w:r w:rsidRPr="00531BD3">
        <w:rPr>
          <w:rFonts w:ascii="FrankRuehl" w:hAnsi="FrankRuehl" w:hint="eastAsia"/>
          <w:color w:val="000000"/>
          <w:sz w:val="28"/>
          <w:rtl/>
        </w:rPr>
        <w:t>מוגדרת</w:t>
      </w:r>
      <w:r w:rsidRPr="00531BD3">
        <w:rPr>
          <w:rFonts w:ascii="FrankRuehl" w:hAnsi="FrankRuehl"/>
          <w:color w:val="000000"/>
          <w:sz w:val="28"/>
          <w:rtl/>
        </w:rPr>
        <w:t xml:space="preserve"> </w:t>
      </w:r>
      <w:r w:rsidRPr="00531BD3">
        <w:rPr>
          <w:rFonts w:ascii="FrankRuehl" w:hAnsi="FrankRuehl" w:hint="cs"/>
          <w:color w:val="000000"/>
          <w:sz w:val="28"/>
          <w:rtl/>
        </w:rPr>
        <w:t xml:space="preserve">אפוא באופן מפורש </w:t>
      </w:r>
      <w:r w:rsidRPr="00531BD3">
        <w:rPr>
          <w:rFonts w:ascii="FrankRuehl" w:hAnsi="FrankRuehl" w:hint="eastAsia"/>
          <w:color w:val="000000"/>
          <w:sz w:val="28"/>
          <w:rtl/>
        </w:rPr>
        <w:t>כחלק</w:t>
      </w:r>
      <w:r w:rsidRPr="00531BD3">
        <w:rPr>
          <w:rFonts w:ascii="FrankRuehl" w:hAnsi="FrankRuehl"/>
          <w:color w:val="000000"/>
          <w:sz w:val="28"/>
          <w:rtl/>
        </w:rPr>
        <w:t xml:space="preserve"> </w:t>
      </w:r>
      <w:r w:rsidRPr="00531BD3">
        <w:rPr>
          <w:rFonts w:ascii="FrankRuehl" w:hAnsi="FrankRuehl" w:hint="eastAsia"/>
          <w:color w:val="000000"/>
          <w:sz w:val="28"/>
          <w:rtl/>
        </w:rPr>
        <w:t>מחובת</w:t>
      </w:r>
      <w:r w:rsidRPr="00531BD3">
        <w:rPr>
          <w:rFonts w:ascii="FrankRuehl" w:hAnsi="FrankRuehl"/>
          <w:color w:val="000000"/>
          <w:sz w:val="28"/>
          <w:rtl/>
        </w:rPr>
        <w:t xml:space="preserve"> </w:t>
      </w:r>
      <w:r w:rsidRPr="00531BD3">
        <w:rPr>
          <w:rFonts w:ascii="FrankRuehl" w:hAnsi="FrankRuehl" w:hint="eastAsia"/>
          <w:color w:val="000000"/>
          <w:sz w:val="28"/>
          <w:rtl/>
        </w:rPr>
        <w:t>האמונים</w:t>
      </w:r>
      <w:r w:rsidRPr="00531BD3">
        <w:rPr>
          <w:rFonts w:ascii="FrankRuehl" w:hAnsi="FrankRuehl"/>
          <w:color w:val="000000"/>
          <w:sz w:val="28"/>
          <w:rtl/>
        </w:rPr>
        <w:t xml:space="preserve"> </w:t>
      </w:r>
      <w:r w:rsidRPr="00531BD3">
        <w:rPr>
          <w:rFonts w:ascii="FrankRuehl" w:hAnsi="FrankRuehl" w:hint="eastAsia"/>
          <w:color w:val="000000"/>
          <w:sz w:val="28"/>
          <w:rtl/>
        </w:rPr>
        <w:t>של</w:t>
      </w:r>
      <w:r w:rsidRPr="00531BD3">
        <w:rPr>
          <w:rFonts w:ascii="FrankRuehl" w:hAnsi="FrankRuehl"/>
          <w:color w:val="000000"/>
          <w:sz w:val="28"/>
          <w:rtl/>
        </w:rPr>
        <w:t xml:space="preserve"> </w:t>
      </w:r>
      <w:r w:rsidRPr="00531BD3">
        <w:rPr>
          <w:rFonts w:ascii="FrankRuehl" w:hAnsi="FrankRuehl" w:hint="eastAsia"/>
          <w:color w:val="000000"/>
          <w:sz w:val="28"/>
          <w:rtl/>
        </w:rPr>
        <w:t>נושא</w:t>
      </w:r>
      <w:r w:rsidRPr="00531BD3">
        <w:rPr>
          <w:rFonts w:ascii="FrankRuehl" w:hAnsi="FrankRuehl"/>
          <w:color w:val="000000"/>
          <w:sz w:val="28"/>
          <w:rtl/>
        </w:rPr>
        <w:t xml:space="preserve"> </w:t>
      </w:r>
      <w:r w:rsidRPr="00531BD3">
        <w:rPr>
          <w:rFonts w:ascii="FrankRuehl" w:hAnsi="FrankRuehl" w:hint="eastAsia"/>
          <w:color w:val="000000"/>
          <w:sz w:val="28"/>
          <w:rtl/>
        </w:rPr>
        <w:t>משרה</w:t>
      </w:r>
      <w:r w:rsidRPr="00531BD3">
        <w:rPr>
          <w:rFonts w:ascii="FrankRuehl" w:hAnsi="FrankRuehl" w:hint="cs"/>
          <w:color w:val="000000"/>
          <w:sz w:val="28"/>
          <w:rtl/>
        </w:rPr>
        <w:t xml:space="preserve">. מעבר לכך, חוק החברות כולל מנגנונים ספציפיים נוספים אשר נועדו למנוע </w:t>
      </w:r>
      <w:r w:rsidRPr="00531BD3">
        <w:rPr>
          <w:rFonts w:ascii="FrankRuehl" w:hAnsi="FrankRuehl"/>
          <w:color w:val="000000"/>
          <w:sz w:val="28"/>
          <w:rtl/>
        </w:rPr>
        <w:t xml:space="preserve">ניגוד עניינים </w:t>
      </w:r>
      <w:r w:rsidRPr="00531BD3">
        <w:rPr>
          <w:rFonts w:ascii="FrankRuehl" w:hAnsi="FrankRuehl" w:hint="cs"/>
          <w:color w:val="000000"/>
          <w:sz w:val="28"/>
          <w:rtl/>
        </w:rPr>
        <w:t>בפעולותיהם של בעלי עניין.</w:t>
      </w:r>
    </w:p>
    <w:p w:rsidR="008A4DD4" w:rsidRPr="00531BD3" w:rsidRDefault="008A4DD4" w:rsidP="008A4DD4">
      <w:pPr>
        <w:pStyle w:val="Ruller41"/>
        <w:rPr>
          <w:rtl/>
        </w:rPr>
      </w:pPr>
    </w:p>
    <w:p w:rsidR="008A4DD4" w:rsidRPr="00531BD3" w:rsidRDefault="008A4DD4" w:rsidP="008A4DD4">
      <w:pPr>
        <w:pStyle w:val="Ruller4"/>
        <w:rPr>
          <w:rtl/>
        </w:rPr>
      </w:pPr>
      <w:r w:rsidRPr="00531BD3">
        <w:rPr>
          <w:rFonts w:hint="cs"/>
          <w:rtl/>
        </w:rPr>
        <w:t xml:space="preserve">לצד חובת האמונים המוטלת על נושא משרה בחברה, הדין מכיר גם בקיומה של חובה מיוחדת המוטלת על בעל השליטה בחברה </w:t>
      </w:r>
      <w:r w:rsidRPr="00531BD3">
        <w:rPr>
          <w:rtl/>
        </w:rPr>
        <w:t>–</w:t>
      </w:r>
      <w:r w:rsidRPr="00531BD3">
        <w:rPr>
          <w:rFonts w:hint="cs"/>
          <w:rtl/>
        </w:rPr>
        <w:t xml:space="preserve"> בהתחשב בעמדת הכוח המיוחדת שבה הוא נמצא ובאפשרותו לכוון את פעולות החברה </w:t>
      </w:r>
      <w:r w:rsidRPr="00531BD3">
        <w:rPr>
          <w:rtl/>
        </w:rPr>
        <w:t>–</w:t>
      </w:r>
      <w:r w:rsidRPr="00531BD3">
        <w:rPr>
          <w:rFonts w:hint="cs"/>
          <w:rtl/>
        </w:rPr>
        <w:t xml:space="preserve"> והיא חובת ההגינות (סעיף 193 לחוק החברות; וראו: </w:t>
      </w:r>
      <w:r w:rsidRPr="00531BD3">
        <w:rPr>
          <w:rFonts w:hint="eastAsia"/>
          <w:rtl/>
        </w:rPr>
        <w:t>ע</w:t>
      </w:r>
      <w:r w:rsidRPr="00531BD3">
        <w:rPr>
          <w:rFonts w:hint="cs"/>
          <w:rtl/>
        </w:rPr>
        <w:t>"</w:t>
      </w:r>
      <w:r w:rsidRPr="00531BD3">
        <w:rPr>
          <w:rFonts w:hint="eastAsia"/>
          <w:rtl/>
        </w:rPr>
        <w:t>א</w:t>
      </w:r>
      <w:r w:rsidRPr="00531BD3">
        <w:rPr>
          <w:rtl/>
        </w:rPr>
        <w:t xml:space="preserve"> 3417/16</w:t>
      </w:r>
      <w:r w:rsidRPr="00531BD3">
        <w:rPr>
          <w:rFonts w:hint="cs"/>
          <w:rtl/>
        </w:rPr>
        <w:t xml:space="preserve"> </w:t>
      </w:r>
      <w:proofErr w:type="spellStart"/>
      <w:r w:rsidRPr="00531BD3">
        <w:rPr>
          <w:rFonts w:ascii="Century" w:hAnsi="Century" w:cs="Miriam" w:hint="eastAsia"/>
          <w:b/>
          <w:spacing w:val="0"/>
          <w:sz w:val="22"/>
          <w:szCs w:val="24"/>
          <w:rtl/>
        </w:rPr>
        <w:t>פינרוס</w:t>
      </w:r>
      <w:proofErr w:type="spellEnd"/>
      <w:r w:rsidRPr="00531BD3">
        <w:rPr>
          <w:rFonts w:ascii="Century" w:hAnsi="Century" w:cs="Miriam"/>
          <w:b/>
          <w:spacing w:val="0"/>
          <w:sz w:val="22"/>
          <w:szCs w:val="24"/>
          <w:rtl/>
        </w:rPr>
        <w:t xml:space="preserve"> </w:t>
      </w:r>
      <w:r w:rsidRPr="00531BD3">
        <w:rPr>
          <w:rFonts w:ascii="Century" w:hAnsi="Century" w:cs="Miriam" w:hint="eastAsia"/>
          <w:b/>
          <w:spacing w:val="0"/>
          <w:sz w:val="22"/>
          <w:szCs w:val="24"/>
          <w:rtl/>
        </w:rPr>
        <w:t>החזקות</w:t>
      </w:r>
      <w:r w:rsidRPr="00531BD3">
        <w:rPr>
          <w:rFonts w:ascii="Century" w:hAnsi="Century" w:cs="Miriam"/>
          <w:b/>
          <w:spacing w:val="0"/>
          <w:sz w:val="22"/>
          <w:szCs w:val="24"/>
          <w:rtl/>
        </w:rPr>
        <w:t xml:space="preserve"> </w:t>
      </w:r>
      <w:r w:rsidRPr="00531BD3">
        <w:rPr>
          <w:rFonts w:ascii="Century" w:hAnsi="Century" w:cs="Miriam" w:hint="eastAsia"/>
          <w:b/>
          <w:spacing w:val="0"/>
          <w:sz w:val="22"/>
          <w:szCs w:val="24"/>
          <w:rtl/>
        </w:rPr>
        <w:t>בע</w:t>
      </w:r>
      <w:r w:rsidRPr="00531BD3">
        <w:rPr>
          <w:rFonts w:ascii="Century" w:hAnsi="Century" w:cs="Miriam"/>
          <w:b/>
          <w:spacing w:val="0"/>
          <w:sz w:val="22"/>
          <w:szCs w:val="24"/>
          <w:rtl/>
        </w:rPr>
        <w:t>"</w:t>
      </w:r>
      <w:r w:rsidRPr="00531BD3">
        <w:rPr>
          <w:rFonts w:ascii="Century" w:hAnsi="Century" w:cs="Miriam" w:hint="eastAsia"/>
          <w:b/>
          <w:spacing w:val="0"/>
          <w:sz w:val="22"/>
          <w:szCs w:val="24"/>
          <w:rtl/>
        </w:rPr>
        <w:t>מ</w:t>
      </w:r>
      <w:r w:rsidRPr="00531BD3">
        <w:rPr>
          <w:rFonts w:ascii="Century" w:hAnsi="Century" w:cs="Miriam"/>
          <w:b/>
          <w:spacing w:val="0"/>
          <w:sz w:val="22"/>
          <w:szCs w:val="24"/>
          <w:rtl/>
        </w:rPr>
        <w:t xml:space="preserve"> </w:t>
      </w:r>
      <w:r w:rsidRPr="00531BD3">
        <w:rPr>
          <w:rFonts w:ascii="Century" w:hAnsi="Century" w:cs="Miriam" w:hint="eastAsia"/>
          <w:b/>
          <w:spacing w:val="0"/>
          <w:sz w:val="22"/>
          <w:szCs w:val="24"/>
          <w:rtl/>
        </w:rPr>
        <w:t>נ</w:t>
      </w:r>
      <w:r w:rsidRPr="00531BD3">
        <w:rPr>
          <w:rFonts w:ascii="Century" w:hAnsi="Century" w:cs="Miriam"/>
          <w:b/>
          <w:spacing w:val="0"/>
          <w:sz w:val="22"/>
          <w:szCs w:val="24"/>
          <w:rtl/>
        </w:rPr>
        <w:t xml:space="preserve">' </w:t>
      </w:r>
      <w:r w:rsidRPr="00531BD3">
        <w:rPr>
          <w:rFonts w:ascii="Century" w:hAnsi="Century" w:cs="Miriam" w:hint="eastAsia"/>
          <w:b/>
          <w:spacing w:val="0"/>
          <w:sz w:val="22"/>
          <w:szCs w:val="24"/>
          <w:rtl/>
        </w:rPr>
        <w:t>התובע</w:t>
      </w:r>
      <w:r w:rsidRPr="00531BD3">
        <w:rPr>
          <w:rFonts w:ascii="Century" w:hAnsi="Century" w:cs="Miriam"/>
          <w:b/>
          <w:spacing w:val="0"/>
          <w:sz w:val="22"/>
          <w:szCs w:val="24"/>
          <w:rtl/>
        </w:rPr>
        <w:t xml:space="preserve"> </w:t>
      </w:r>
      <w:r w:rsidRPr="00531BD3">
        <w:rPr>
          <w:rFonts w:ascii="Century" w:hAnsi="Century" w:cs="Miriam" w:hint="eastAsia"/>
          <w:b/>
          <w:spacing w:val="0"/>
          <w:sz w:val="22"/>
          <w:szCs w:val="24"/>
          <w:rtl/>
        </w:rPr>
        <w:t>הייצוגי</w:t>
      </w:r>
      <w:r w:rsidRPr="00531BD3">
        <w:rPr>
          <w:rFonts w:ascii="Century" w:hAnsi="Century" w:cs="Miriam"/>
          <w:b/>
          <w:spacing w:val="0"/>
          <w:sz w:val="22"/>
          <w:szCs w:val="24"/>
          <w:rtl/>
        </w:rPr>
        <w:t xml:space="preserve"> </w:t>
      </w:r>
      <w:r w:rsidRPr="00531BD3">
        <w:rPr>
          <w:rFonts w:ascii="Century" w:hAnsi="Century" w:cs="Miriam" w:hint="eastAsia"/>
          <w:b/>
          <w:spacing w:val="0"/>
          <w:sz w:val="22"/>
          <w:szCs w:val="24"/>
          <w:rtl/>
        </w:rPr>
        <w:t>דב</w:t>
      </w:r>
      <w:r w:rsidRPr="00531BD3">
        <w:rPr>
          <w:rFonts w:ascii="Century" w:hAnsi="Century" w:cs="Miriam"/>
          <w:b/>
          <w:spacing w:val="0"/>
          <w:sz w:val="22"/>
          <w:szCs w:val="24"/>
          <w:rtl/>
        </w:rPr>
        <w:t xml:space="preserve"> </w:t>
      </w:r>
      <w:r w:rsidRPr="00531BD3">
        <w:rPr>
          <w:rFonts w:ascii="Century" w:hAnsi="Century" w:cs="Miriam" w:hint="eastAsia"/>
          <w:b/>
          <w:spacing w:val="0"/>
          <w:sz w:val="22"/>
          <w:szCs w:val="24"/>
          <w:rtl/>
        </w:rPr>
        <w:t>גולדשטיין</w:t>
      </w:r>
      <w:r w:rsidRPr="00531BD3">
        <w:rPr>
          <w:rFonts w:hint="cs"/>
          <w:rtl/>
        </w:rPr>
        <w:t xml:space="preserve">, פסקה 24 לפסק דינה של השופטת </w:t>
      </w:r>
      <w:r w:rsidRPr="00531BD3">
        <w:rPr>
          <w:rFonts w:ascii="Century" w:hAnsi="Century" w:cs="Miriam" w:hint="eastAsia"/>
          <w:b/>
          <w:spacing w:val="0"/>
          <w:sz w:val="22"/>
          <w:szCs w:val="24"/>
          <w:rtl/>
        </w:rPr>
        <w:t>ד</w:t>
      </w:r>
      <w:r w:rsidRPr="00531BD3">
        <w:rPr>
          <w:rFonts w:ascii="Century" w:hAnsi="Century" w:cs="Miriam"/>
          <w:b/>
          <w:spacing w:val="0"/>
          <w:sz w:val="22"/>
          <w:szCs w:val="24"/>
          <w:rtl/>
        </w:rPr>
        <w:t xml:space="preserve">' </w:t>
      </w:r>
      <w:r w:rsidRPr="00531BD3">
        <w:rPr>
          <w:rFonts w:ascii="Century" w:hAnsi="Century" w:cs="Miriam" w:hint="eastAsia"/>
          <w:b/>
          <w:spacing w:val="0"/>
          <w:sz w:val="22"/>
          <w:szCs w:val="24"/>
          <w:rtl/>
        </w:rPr>
        <w:t>ברק</w:t>
      </w:r>
      <w:r w:rsidRPr="00531BD3">
        <w:rPr>
          <w:rFonts w:ascii="Century" w:hAnsi="Century" w:cs="Miriam"/>
          <w:b/>
          <w:spacing w:val="0"/>
          <w:sz w:val="22"/>
          <w:szCs w:val="24"/>
          <w:rtl/>
        </w:rPr>
        <w:t xml:space="preserve"> </w:t>
      </w:r>
      <w:r w:rsidRPr="00531BD3">
        <w:rPr>
          <w:rFonts w:ascii="Century" w:hAnsi="Century" w:cs="Miriam" w:hint="eastAsia"/>
          <w:b/>
          <w:spacing w:val="0"/>
          <w:sz w:val="22"/>
          <w:szCs w:val="24"/>
          <w:rtl/>
        </w:rPr>
        <w:t>ארז</w:t>
      </w:r>
      <w:r w:rsidRPr="00531BD3">
        <w:rPr>
          <w:rFonts w:hint="cs"/>
          <w:rtl/>
        </w:rPr>
        <w:t xml:space="preserve"> (4.8.2021); עניין </w:t>
      </w:r>
      <w:proofErr w:type="spellStart"/>
      <w:r w:rsidRPr="00531BD3">
        <w:rPr>
          <w:rFonts w:ascii="Century" w:hAnsi="Century" w:cs="Miriam" w:hint="eastAsia"/>
          <w:b/>
          <w:spacing w:val="0"/>
          <w:sz w:val="22"/>
          <w:szCs w:val="24"/>
          <w:rtl/>
        </w:rPr>
        <w:t>ורדניקוב</w:t>
      </w:r>
      <w:proofErr w:type="spellEnd"/>
      <w:r w:rsidRPr="00531BD3">
        <w:rPr>
          <w:rFonts w:hint="cs"/>
          <w:rtl/>
        </w:rPr>
        <w:t xml:space="preserve">, פסקאות 55-53). על תוכנה של חובת ההגינות נאמר כי גבולותיה משתנים "בהתאם לסוג הפעולה הנדונה בעת הפעלת השליטה </w:t>
      </w:r>
      <w:r w:rsidRPr="00531BD3">
        <w:rPr>
          <w:rFonts w:hint="eastAsia"/>
          <w:rtl/>
        </w:rPr>
        <w:t>והם</w:t>
      </w:r>
      <w:r w:rsidRPr="00531BD3">
        <w:rPr>
          <w:rtl/>
        </w:rPr>
        <w:t xml:space="preserve"> </w:t>
      </w:r>
      <w:r w:rsidRPr="00531BD3">
        <w:rPr>
          <w:rFonts w:hint="eastAsia"/>
          <w:rtl/>
        </w:rPr>
        <w:t>ייקבעו</w:t>
      </w:r>
      <w:r w:rsidRPr="00531BD3">
        <w:rPr>
          <w:rtl/>
        </w:rPr>
        <w:t xml:space="preserve"> </w:t>
      </w:r>
      <w:r w:rsidRPr="00531BD3">
        <w:rPr>
          <w:rFonts w:hint="eastAsia"/>
          <w:rtl/>
        </w:rPr>
        <w:t>ביחס</w:t>
      </w:r>
      <w:r w:rsidRPr="00531BD3">
        <w:rPr>
          <w:rtl/>
        </w:rPr>
        <w:t xml:space="preserve"> </w:t>
      </w:r>
      <w:r w:rsidRPr="00531BD3">
        <w:rPr>
          <w:rFonts w:hint="eastAsia"/>
          <w:rtl/>
        </w:rPr>
        <w:t>לכל</w:t>
      </w:r>
      <w:r w:rsidRPr="00531BD3">
        <w:rPr>
          <w:rtl/>
        </w:rPr>
        <w:t xml:space="preserve"> </w:t>
      </w:r>
      <w:r w:rsidRPr="00531BD3">
        <w:rPr>
          <w:rFonts w:hint="eastAsia"/>
          <w:rtl/>
        </w:rPr>
        <w:t>אחד</w:t>
      </w:r>
      <w:r w:rsidRPr="00531BD3">
        <w:rPr>
          <w:rtl/>
        </w:rPr>
        <w:t xml:space="preserve"> </w:t>
      </w:r>
      <w:r w:rsidRPr="00531BD3">
        <w:rPr>
          <w:rFonts w:hint="eastAsia"/>
          <w:rtl/>
        </w:rPr>
        <w:t>מסוגי</w:t>
      </w:r>
      <w:r w:rsidRPr="00531BD3">
        <w:rPr>
          <w:rtl/>
        </w:rPr>
        <w:t xml:space="preserve"> </w:t>
      </w:r>
      <w:r w:rsidRPr="00531BD3">
        <w:rPr>
          <w:rFonts w:hint="eastAsia"/>
          <w:rtl/>
        </w:rPr>
        <w:t>הפעולות</w:t>
      </w:r>
      <w:r w:rsidRPr="00531BD3">
        <w:rPr>
          <w:rtl/>
        </w:rPr>
        <w:t xml:space="preserve"> </w:t>
      </w:r>
      <w:r w:rsidRPr="00531BD3">
        <w:rPr>
          <w:rFonts w:hint="eastAsia"/>
          <w:rtl/>
        </w:rPr>
        <w:t>עם</w:t>
      </w:r>
      <w:r w:rsidRPr="00531BD3">
        <w:rPr>
          <w:rtl/>
        </w:rPr>
        <w:t xml:space="preserve"> </w:t>
      </w:r>
      <w:r w:rsidRPr="00531BD3">
        <w:rPr>
          <w:rFonts w:hint="eastAsia"/>
          <w:rtl/>
        </w:rPr>
        <w:t>התפתחות</w:t>
      </w:r>
      <w:r w:rsidRPr="00531BD3">
        <w:rPr>
          <w:rtl/>
        </w:rPr>
        <w:t xml:space="preserve"> </w:t>
      </w:r>
      <w:r w:rsidRPr="00531BD3">
        <w:rPr>
          <w:rFonts w:hint="eastAsia"/>
          <w:rtl/>
        </w:rPr>
        <w:t>הפסיקה</w:t>
      </w:r>
      <w:r w:rsidRPr="00531BD3">
        <w:rPr>
          <w:rtl/>
        </w:rPr>
        <w:t xml:space="preserve"> </w:t>
      </w:r>
      <w:r w:rsidRPr="00531BD3">
        <w:rPr>
          <w:rFonts w:hint="eastAsia"/>
          <w:rtl/>
        </w:rPr>
        <w:t>הרלוונטית</w:t>
      </w:r>
      <w:r w:rsidRPr="00531BD3">
        <w:rPr>
          <w:rFonts w:hint="cs"/>
          <w:rtl/>
        </w:rPr>
        <w:t>" (</w:t>
      </w:r>
      <w:r w:rsidRPr="00531BD3">
        <w:rPr>
          <w:rFonts w:hint="eastAsia"/>
          <w:rtl/>
        </w:rPr>
        <w:t>ע</w:t>
      </w:r>
      <w:r w:rsidRPr="00531BD3">
        <w:rPr>
          <w:rtl/>
        </w:rPr>
        <w:t>"</w:t>
      </w:r>
      <w:r w:rsidRPr="00531BD3">
        <w:rPr>
          <w:rFonts w:hint="eastAsia"/>
          <w:rtl/>
        </w:rPr>
        <w:t>א</w:t>
      </w:r>
      <w:r w:rsidRPr="00531BD3">
        <w:rPr>
          <w:rtl/>
        </w:rPr>
        <w:t xml:space="preserve"> 7657/17 </w:t>
      </w:r>
      <w:r w:rsidRPr="00531BD3">
        <w:rPr>
          <w:rFonts w:ascii="Century" w:hAnsi="Century" w:cs="Miriam" w:hint="eastAsia"/>
          <w:b/>
          <w:spacing w:val="0"/>
          <w:sz w:val="22"/>
          <w:szCs w:val="24"/>
          <w:rtl/>
        </w:rPr>
        <w:t>רו</w:t>
      </w:r>
      <w:r w:rsidRPr="00531BD3">
        <w:rPr>
          <w:rFonts w:ascii="Century" w:hAnsi="Century" w:cs="Miriam"/>
          <w:b/>
          <w:spacing w:val="0"/>
          <w:sz w:val="22"/>
          <w:szCs w:val="24"/>
          <w:rtl/>
        </w:rPr>
        <w:t>"</w:t>
      </w:r>
      <w:r w:rsidRPr="00531BD3">
        <w:rPr>
          <w:rFonts w:ascii="Century" w:hAnsi="Century" w:cs="Miriam" w:hint="eastAsia"/>
          <w:b/>
          <w:spacing w:val="0"/>
          <w:sz w:val="22"/>
          <w:szCs w:val="24"/>
          <w:rtl/>
        </w:rPr>
        <w:t>ח</w:t>
      </w:r>
      <w:r w:rsidRPr="00531BD3">
        <w:rPr>
          <w:rFonts w:ascii="Century" w:hAnsi="Century" w:cs="Miriam"/>
          <w:b/>
          <w:spacing w:val="0"/>
          <w:sz w:val="22"/>
          <w:szCs w:val="24"/>
          <w:rtl/>
        </w:rPr>
        <w:t xml:space="preserve"> </w:t>
      </w:r>
      <w:r w:rsidRPr="00531BD3">
        <w:rPr>
          <w:rFonts w:ascii="Century" w:hAnsi="Century" w:cs="Miriam" w:hint="eastAsia"/>
          <w:b/>
          <w:spacing w:val="0"/>
          <w:sz w:val="22"/>
          <w:szCs w:val="24"/>
          <w:rtl/>
        </w:rPr>
        <w:t>חן</w:t>
      </w:r>
      <w:r w:rsidRPr="00531BD3">
        <w:rPr>
          <w:rFonts w:ascii="Century" w:hAnsi="Century" w:cs="Miriam"/>
          <w:b/>
          <w:spacing w:val="0"/>
          <w:sz w:val="22"/>
          <w:szCs w:val="24"/>
          <w:rtl/>
        </w:rPr>
        <w:t xml:space="preserve"> </w:t>
      </w:r>
      <w:proofErr w:type="spellStart"/>
      <w:r w:rsidRPr="00531BD3">
        <w:rPr>
          <w:rFonts w:ascii="Century" w:hAnsi="Century" w:cs="Miriam" w:hint="eastAsia"/>
          <w:b/>
          <w:spacing w:val="0"/>
          <w:sz w:val="22"/>
          <w:szCs w:val="24"/>
          <w:rtl/>
        </w:rPr>
        <w:t>ברדיצ</w:t>
      </w:r>
      <w:r w:rsidRPr="00531BD3">
        <w:rPr>
          <w:rFonts w:ascii="Century" w:hAnsi="Century" w:cs="Miriam"/>
          <w:b/>
          <w:spacing w:val="0"/>
          <w:sz w:val="22"/>
          <w:szCs w:val="24"/>
          <w:rtl/>
        </w:rPr>
        <w:t>'</w:t>
      </w:r>
      <w:r w:rsidRPr="00531BD3">
        <w:rPr>
          <w:rFonts w:ascii="Century" w:hAnsi="Century" w:cs="Miriam" w:hint="eastAsia"/>
          <w:b/>
          <w:spacing w:val="0"/>
          <w:sz w:val="22"/>
          <w:szCs w:val="24"/>
          <w:rtl/>
        </w:rPr>
        <w:t>ב</w:t>
      </w:r>
      <w:proofErr w:type="spellEnd"/>
      <w:r w:rsidRPr="00531BD3">
        <w:rPr>
          <w:rFonts w:ascii="Century" w:hAnsi="Century" w:cs="Miriam"/>
          <w:b/>
          <w:spacing w:val="0"/>
          <w:sz w:val="22"/>
          <w:szCs w:val="24"/>
          <w:rtl/>
        </w:rPr>
        <w:t xml:space="preserve"> </w:t>
      </w:r>
      <w:r w:rsidRPr="00531BD3">
        <w:rPr>
          <w:rFonts w:ascii="Century" w:hAnsi="Century" w:cs="Miriam" w:hint="eastAsia"/>
          <w:b/>
          <w:spacing w:val="0"/>
          <w:sz w:val="22"/>
          <w:szCs w:val="24"/>
          <w:rtl/>
        </w:rPr>
        <w:t>בתפקידו</w:t>
      </w:r>
      <w:r w:rsidRPr="00531BD3">
        <w:rPr>
          <w:rFonts w:ascii="Century" w:hAnsi="Century" w:cs="Miriam"/>
          <w:b/>
          <w:spacing w:val="0"/>
          <w:sz w:val="22"/>
          <w:szCs w:val="24"/>
          <w:rtl/>
        </w:rPr>
        <w:t xml:space="preserve"> </w:t>
      </w:r>
      <w:r w:rsidRPr="00531BD3">
        <w:rPr>
          <w:rFonts w:ascii="Century" w:hAnsi="Century" w:cs="Miriam" w:hint="eastAsia"/>
          <w:b/>
          <w:spacing w:val="0"/>
          <w:sz w:val="22"/>
          <w:szCs w:val="24"/>
          <w:rtl/>
        </w:rPr>
        <w:t>כנאמן</w:t>
      </w:r>
      <w:r w:rsidRPr="00531BD3">
        <w:rPr>
          <w:rFonts w:ascii="Century" w:hAnsi="Century" w:cs="Miriam"/>
          <w:b/>
          <w:spacing w:val="0"/>
          <w:sz w:val="22"/>
          <w:szCs w:val="24"/>
          <w:rtl/>
        </w:rPr>
        <w:t xml:space="preserve"> </w:t>
      </w:r>
      <w:r w:rsidRPr="00531BD3">
        <w:rPr>
          <w:rFonts w:ascii="Century" w:hAnsi="Century" w:cs="Miriam" w:hint="eastAsia"/>
          <w:b/>
          <w:spacing w:val="0"/>
          <w:sz w:val="22"/>
          <w:szCs w:val="24"/>
          <w:rtl/>
        </w:rPr>
        <w:t>על</w:t>
      </w:r>
      <w:r w:rsidRPr="00531BD3">
        <w:rPr>
          <w:rFonts w:ascii="Century" w:hAnsi="Century" w:cs="Miriam"/>
          <w:b/>
          <w:spacing w:val="0"/>
          <w:sz w:val="22"/>
          <w:szCs w:val="24"/>
          <w:rtl/>
        </w:rPr>
        <w:t xml:space="preserve"> </w:t>
      </w:r>
      <w:r w:rsidRPr="00531BD3">
        <w:rPr>
          <w:rFonts w:ascii="Century" w:hAnsi="Century" w:cs="Miriam" w:hint="eastAsia"/>
          <w:b/>
          <w:spacing w:val="0"/>
          <w:sz w:val="22"/>
          <w:szCs w:val="24"/>
          <w:rtl/>
        </w:rPr>
        <w:t>הסדר</w:t>
      </w:r>
      <w:r w:rsidRPr="00531BD3">
        <w:rPr>
          <w:rFonts w:ascii="Century" w:hAnsi="Century" w:cs="Miriam"/>
          <w:b/>
          <w:spacing w:val="0"/>
          <w:sz w:val="22"/>
          <w:szCs w:val="24"/>
          <w:rtl/>
        </w:rPr>
        <w:t xml:space="preserve"> </w:t>
      </w:r>
      <w:r w:rsidRPr="00531BD3">
        <w:rPr>
          <w:rFonts w:ascii="Century" w:hAnsi="Century" w:cs="Miriam" w:hint="eastAsia"/>
          <w:b/>
          <w:spacing w:val="0"/>
          <w:sz w:val="22"/>
          <w:szCs w:val="24"/>
          <w:rtl/>
        </w:rPr>
        <w:t>הנושים</w:t>
      </w:r>
      <w:r w:rsidRPr="00531BD3">
        <w:rPr>
          <w:rFonts w:ascii="Century" w:hAnsi="Century" w:cs="Miriam"/>
          <w:b/>
          <w:spacing w:val="0"/>
          <w:sz w:val="22"/>
          <w:szCs w:val="24"/>
          <w:rtl/>
        </w:rPr>
        <w:t xml:space="preserve"> </w:t>
      </w:r>
      <w:r w:rsidRPr="00531BD3">
        <w:rPr>
          <w:rFonts w:ascii="Century" w:hAnsi="Century" w:cs="Miriam" w:hint="eastAsia"/>
          <w:b/>
          <w:spacing w:val="0"/>
          <w:sz w:val="22"/>
          <w:szCs w:val="24"/>
          <w:rtl/>
        </w:rPr>
        <w:t>של</w:t>
      </w:r>
      <w:r w:rsidRPr="00531BD3">
        <w:rPr>
          <w:rFonts w:ascii="Century" w:hAnsi="Century" w:cs="Miriam"/>
          <w:b/>
          <w:spacing w:val="0"/>
          <w:sz w:val="22"/>
          <w:szCs w:val="24"/>
          <w:rtl/>
        </w:rPr>
        <w:t xml:space="preserve"> </w:t>
      </w:r>
      <w:proofErr w:type="spellStart"/>
      <w:r w:rsidRPr="00531BD3">
        <w:rPr>
          <w:rFonts w:ascii="Century" w:hAnsi="Century" w:cs="Miriam" w:hint="eastAsia"/>
          <w:b/>
          <w:spacing w:val="0"/>
          <w:sz w:val="22"/>
          <w:szCs w:val="24"/>
          <w:rtl/>
        </w:rPr>
        <w:t>פויכטונגר</w:t>
      </w:r>
      <w:proofErr w:type="spellEnd"/>
      <w:r w:rsidRPr="00531BD3">
        <w:rPr>
          <w:rFonts w:ascii="Century" w:hAnsi="Century" w:cs="Miriam"/>
          <w:b/>
          <w:spacing w:val="0"/>
          <w:sz w:val="22"/>
          <w:szCs w:val="24"/>
          <w:rtl/>
        </w:rPr>
        <w:t xml:space="preserve"> </w:t>
      </w:r>
      <w:r w:rsidRPr="00531BD3">
        <w:rPr>
          <w:rFonts w:ascii="Century" w:hAnsi="Century" w:cs="Miriam" w:hint="eastAsia"/>
          <w:b/>
          <w:spacing w:val="0"/>
          <w:sz w:val="22"/>
          <w:szCs w:val="24"/>
          <w:rtl/>
        </w:rPr>
        <w:t>תעשיות</w:t>
      </w:r>
      <w:r w:rsidRPr="00531BD3">
        <w:rPr>
          <w:rFonts w:ascii="Century" w:hAnsi="Century" w:cs="Miriam"/>
          <w:b/>
          <w:spacing w:val="0"/>
          <w:sz w:val="22"/>
          <w:szCs w:val="24"/>
          <w:rtl/>
        </w:rPr>
        <w:t xml:space="preserve"> </w:t>
      </w:r>
      <w:r w:rsidRPr="00531BD3">
        <w:rPr>
          <w:rFonts w:ascii="Century" w:hAnsi="Century" w:cs="Miriam" w:hint="eastAsia"/>
          <w:b/>
          <w:spacing w:val="0"/>
          <w:sz w:val="22"/>
          <w:szCs w:val="24"/>
          <w:rtl/>
        </w:rPr>
        <w:t>בע</w:t>
      </w:r>
      <w:r w:rsidRPr="00531BD3">
        <w:rPr>
          <w:rFonts w:ascii="Century" w:hAnsi="Century" w:cs="Miriam"/>
          <w:b/>
          <w:spacing w:val="0"/>
          <w:sz w:val="22"/>
          <w:szCs w:val="24"/>
          <w:rtl/>
        </w:rPr>
        <w:t>"</w:t>
      </w:r>
      <w:r w:rsidRPr="00531BD3">
        <w:rPr>
          <w:rFonts w:ascii="Century" w:hAnsi="Century" w:cs="Miriam" w:hint="eastAsia"/>
          <w:b/>
          <w:spacing w:val="0"/>
          <w:sz w:val="22"/>
          <w:szCs w:val="24"/>
          <w:rtl/>
        </w:rPr>
        <w:t>מ</w:t>
      </w:r>
      <w:r w:rsidRPr="00531BD3">
        <w:rPr>
          <w:rFonts w:ascii="Century" w:hAnsi="Century" w:cs="Miriam"/>
          <w:b/>
          <w:spacing w:val="0"/>
          <w:sz w:val="22"/>
          <w:szCs w:val="24"/>
          <w:rtl/>
        </w:rPr>
        <w:t xml:space="preserve"> </w:t>
      </w:r>
      <w:r w:rsidRPr="00531BD3">
        <w:rPr>
          <w:rFonts w:ascii="Century" w:hAnsi="Century" w:cs="Miriam" w:hint="eastAsia"/>
          <w:b/>
          <w:spacing w:val="0"/>
          <w:sz w:val="22"/>
          <w:szCs w:val="24"/>
          <w:rtl/>
        </w:rPr>
        <w:t>נ</w:t>
      </w:r>
      <w:r w:rsidRPr="00531BD3">
        <w:rPr>
          <w:rFonts w:ascii="Century" w:hAnsi="Century" w:cs="Miriam"/>
          <w:b/>
          <w:spacing w:val="0"/>
          <w:sz w:val="22"/>
          <w:szCs w:val="24"/>
          <w:rtl/>
        </w:rPr>
        <w:t xml:space="preserve">' </w:t>
      </w:r>
      <w:proofErr w:type="spellStart"/>
      <w:r w:rsidRPr="00531BD3">
        <w:rPr>
          <w:rFonts w:ascii="Century" w:hAnsi="Century" w:cs="Miriam" w:hint="eastAsia"/>
          <w:b/>
          <w:spacing w:val="0"/>
          <w:sz w:val="22"/>
          <w:szCs w:val="24"/>
          <w:rtl/>
        </w:rPr>
        <w:t>פויכטונגר</w:t>
      </w:r>
      <w:proofErr w:type="spellEnd"/>
      <w:r w:rsidRPr="00531BD3">
        <w:rPr>
          <w:rtl/>
        </w:rPr>
        <w:t xml:space="preserve">, </w:t>
      </w:r>
      <w:r w:rsidRPr="00531BD3">
        <w:rPr>
          <w:rFonts w:hint="cs"/>
          <w:rtl/>
        </w:rPr>
        <w:t xml:space="preserve">פסקה 55 </w:t>
      </w:r>
      <w:r w:rsidRPr="00531BD3">
        <w:rPr>
          <w:rtl/>
        </w:rPr>
        <w:t>(18.6.2020)</w:t>
      </w:r>
      <w:r w:rsidRPr="00531BD3">
        <w:rPr>
          <w:rFonts w:hint="cs"/>
          <w:rtl/>
        </w:rPr>
        <w:t xml:space="preserve">). הגישה המקובלת בפסיקה היא שחובת ההגינות המוטלת על בעל השליטה הינה חובה המצויה "בתווך" בין חובת האמונים המוטלת על נושא משרה לבין החובה לנהוג בתום לב המוטלת על כל בעל מניות מן השורה (ראו למשל: עניין </w:t>
      </w:r>
      <w:proofErr w:type="spellStart"/>
      <w:r w:rsidRPr="00531BD3">
        <w:rPr>
          <w:rFonts w:ascii="Century" w:hAnsi="Century" w:cs="Miriam" w:hint="eastAsia"/>
          <w:b/>
          <w:spacing w:val="0"/>
          <w:sz w:val="22"/>
          <w:szCs w:val="24"/>
          <w:rtl/>
        </w:rPr>
        <w:t>ורדניקוב</w:t>
      </w:r>
      <w:proofErr w:type="spellEnd"/>
      <w:r w:rsidRPr="00531BD3">
        <w:rPr>
          <w:rFonts w:hint="cs"/>
          <w:rtl/>
        </w:rPr>
        <w:t xml:space="preserve">, פסקה 55). אם כי חובת האמונים וחובת ההגינות אינן חובות "הזרות לחלוטין זו לזו" (עניין </w:t>
      </w:r>
      <w:proofErr w:type="spellStart"/>
      <w:r w:rsidRPr="00531BD3">
        <w:rPr>
          <w:rFonts w:ascii="Century" w:hAnsi="Century" w:cs="Miriam" w:hint="eastAsia"/>
          <w:b/>
          <w:spacing w:val="0"/>
          <w:sz w:val="22"/>
          <w:szCs w:val="24"/>
          <w:rtl/>
        </w:rPr>
        <w:t>ורדניקוב</w:t>
      </w:r>
      <w:proofErr w:type="spellEnd"/>
      <w:r w:rsidRPr="00531BD3">
        <w:rPr>
          <w:rFonts w:hint="cs"/>
          <w:rtl/>
        </w:rPr>
        <w:t xml:space="preserve">, פסקה 59), ובקשר </w:t>
      </w:r>
      <w:r w:rsidRPr="00531BD3">
        <w:rPr>
          <w:rFonts w:hint="cs"/>
          <w:rtl/>
        </w:rPr>
        <w:lastRenderedPageBreak/>
        <w:t xml:space="preserve">למצב דברים שבו קיים לנושא משרה או לבעל שליטה </w:t>
      </w:r>
      <w:r w:rsidRPr="00531BD3">
        <w:rPr>
          <w:rFonts w:ascii="Century" w:hAnsi="Century" w:cs="Miriam" w:hint="eastAsia"/>
          <w:b/>
          <w:spacing w:val="0"/>
          <w:sz w:val="22"/>
          <w:szCs w:val="24"/>
          <w:rtl/>
        </w:rPr>
        <w:t>עניין</w:t>
      </w:r>
      <w:r w:rsidRPr="00531BD3">
        <w:rPr>
          <w:rFonts w:ascii="Century" w:hAnsi="Century" w:cs="Miriam"/>
          <w:b/>
          <w:spacing w:val="0"/>
          <w:sz w:val="22"/>
          <w:szCs w:val="24"/>
          <w:rtl/>
        </w:rPr>
        <w:t xml:space="preserve"> </w:t>
      </w:r>
      <w:r w:rsidRPr="00531BD3">
        <w:rPr>
          <w:rFonts w:ascii="Century" w:hAnsi="Century" w:cs="Miriam" w:hint="eastAsia"/>
          <w:b/>
          <w:spacing w:val="0"/>
          <w:sz w:val="22"/>
          <w:szCs w:val="24"/>
          <w:rtl/>
        </w:rPr>
        <w:t>אישי</w:t>
      </w:r>
      <w:r w:rsidRPr="00531BD3">
        <w:rPr>
          <w:rFonts w:hint="cs"/>
          <w:rtl/>
        </w:rPr>
        <w:t xml:space="preserve"> בעסקה, כבענייננו, הדין אף משווה בין חובת הגילוי המוטלת על בעלי העניין בקבעו כי אי-גילוי העניין האישי בעסקה מהווה הן הפרת חובת אמונים לגבי נושא המשרה והן הפרת חובת ההגינות לגבי בעל השליטה (סעיף 283(א) לחוק).</w:t>
      </w:r>
    </w:p>
    <w:p w:rsidR="008A4DD4" w:rsidRPr="00531BD3" w:rsidRDefault="008A4DD4" w:rsidP="008A4DD4">
      <w:pPr>
        <w:pStyle w:val="Ruller41"/>
        <w:rPr>
          <w:rtl/>
        </w:rPr>
      </w:pPr>
    </w:p>
    <w:p w:rsidR="008A4DD4" w:rsidRPr="00531BD3" w:rsidRDefault="008A4DD4" w:rsidP="008A4DD4">
      <w:pPr>
        <w:pStyle w:val="Ruller4"/>
        <w:rPr>
          <w:rtl/>
        </w:rPr>
      </w:pPr>
      <w:r w:rsidRPr="00531BD3">
        <w:rPr>
          <w:rFonts w:hint="cs"/>
          <w:rtl/>
        </w:rPr>
        <w:t xml:space="preserve">מעבר לכך, בין המנגנונים שנקבעו בחוק החברות למניעת ניגוד עניינים הטמון בעסקאות בעלי העניין, נקבע כי בעל עניין אישי בעסקה מנוע, בכפוף לחריגים מסוימים, מלהיות נוכח בדיון ומלהשתתף בהצבעה בוועדת הביקורת ובדירקטוריון (סעיף 278 לחוק החברות). כמו כן עסקה שלנושא המשרה בחברה יש בה עניין אישי, טעונה הליך אישור מיוחד (סעיף 270(1) לחוק החברות). אולם במנגנון זה לא די כאשר עומדת על הפרק עסקה שהיא בעלת פוטנציאל רב יותר לפגיעה בחברה, כגון עסקה בין החברה לבין בעל השליטה עצמו, או כאשר הצד השני לעסקה הוא חברה שלבעל השליטה יש עניין בה (סעיף 270(4) לחוק החברות; ראו למשל: עניין </w:t>
      </w:r>
      <w:proofErr w:type="spellStart"/>
      <w:r w:rsidRPr="00531BD3">
        <w:rPr>
          <w:rFonts w:ascii="Century" w:hAnsi="Century" w:cs="Miriam" w:hint="eastAsia"/>
          <w:b/>
          <w:spacing w:val="0"/>
          <w:sz w:val="22"/>
          <w:szCs w:val="24"/>
          <w:rtl/>
        </w:rPr>
        <w:t>ורדניקוב</w:t>
      </w:r>
      <w:proofErr w:type="spellEnd"/>
      <w:r w:rsidRPr="00531BD3">
        <w:rPr>
          <w:rFonts w:hint="cs"/>
          <w:rtl/>
        </w:rPr>
        <w:t>,</w:t>
      </w:r>
      <w:r w:rsidRPr="00531BD3">
        <w:rPr>
          <w:rtl/>
        </w:rPr>
        <w:t xml:space="preserve"> </w:t>
      </w:r>
      <w:r w:rsidRPr="00531BD3">
        <w:rPr>
          <w:rFonts w:hint="cs"/>
          <w:rtl/>
        </w:rPr>
        <w:t xml:space="preserve">פסקאות 61-60; עניין </w:t>
      </w:r>
      <w:r w:rsidRPr="00531BD3">
        <w:rPr>
          <w:rFonts w:ascii="Century" w:hAnsi="Century" w:cs="Miriam" w:hint="cs"/>
          <w:b/>
          <w:spacing w:val="0"/>
          <w:sz w:val="22"/>
          <w:szCs w:val="24"/>
          <w:rtl/>
        </w:rPr>
        <w:t>ערד</w:t>
      </w:r>
      <w:r w:rsidRPr="00531BD3">
        <w:rPr>
          <w:rFonts w:hint="cs"/>
          <w:rtl/>
        </w:rPr>
        <w:t xml:space="preserve">, עמ' 334-333). במקרה מעין זה, סעיף 275 לחוק החברות מחייב "אישור משולש". על פי סעיף זה, נדרשים שלושה אורגנים שאינם קשורים לבעל השליטה לאשר את העסקה </w:t>
      </w:r>
      <w:r w:rsidRPr="00531BD3">
        <w:rPr>
          <w:rtl/>
        </w:rPr>
        <w:t>–</w:t>
      </w:r>
      <w:r w:rsidRPr="00531BD3">
        <w:rPr>
          <w:rFonts w:hint="cs"/>
          <w:rtl/>
        </w:rPr>
        <w:t xml:space="preserve"> ועדת הביקורת; הדירקטוריון; והאסיפה הכללית. מדובר במנגנון מחייב אשר בלעדיו לא יהא תוקף לעסקה, כפי שקובע סעיף 280(א) לחוק. החוק אינו מסתפק בדרישה פרוצדורלית גרידא, ומציב תנאי מהותי שעל פיו עסקה כזו (כמו גם עסקה </w:t>
      </w:r>
      <w:r w:rsidRPr="00531BD3">
        <w:rPr>
          <w:rFonts w:hint="eastAsia"/>
          <w:rtl/>
        </w:rPr>
        <w:t>שלנושא</w:t>
      </w:r>
      <w:r w:rsidRPr="00531BD3">
        <w:rPr>
          <w:rtl/>
        </w:rPr>
        <w:t xml:space="preserve"> </w:t>
      </w:r>
      <w:r w:rsidRPr="00531BD3">
        <w:rPr>
          <w:rFonts w:hint="eastAsia"/>
          <w:rtl/>
        </w:rPr>
        <w:t>המשרה</w:t>
      </w:r>
      <w:r w:rsidRPr="00531BD3">
        <w:rPr>
          <w:rtl/>
        </w:rPr>
        <w:t xml:space="preserve"> </w:t>
      </w:r>
      <w:r w:rsidRPr="00531BD3">
        <w:rPr>
          <w:rFonts w:hint="eastAsia"/>
          <w:rtl/>
        </w:rPr>
        <w:t>בחברה</w:t>
      </w:r>
      <w:r w:rsidRPr="00531BD3">
        <w:rPr>
          <w:rtl/>
        </w:rPr>
        <w:t xml:space="preserve"> </w:t>
      </w:r>
      <w:r w:rsidRPr="00531BD3">
        <w:rPr>
          <w:rFonts w:hint="eastAsia"/>
          <w:rtl/>
        </w:rPr>
        <w:t>יש</w:t>
      </w:r>
      <w:r w:rsidRPr="00531BD3">
        <w:rPr>
          <w:rtl/>
        </w:rPr>
        <w:t xml:space="preserve"> </w:t>
      </w:r>
      <w:r w:rsidRPr="00531BD3">
        <w:rPr>
          <w:rFonts w:hint="eastAsia"/>
          <w:rtl/>
        </w:rPr>
        <w:t>בה</w:t>
      </w:r>
      <w:r w:rsidRPr="00531BD3">
        <w:rPr>
          <w:rtl/>
        </w:rPr>
        <w:t xml:space="preserve"> </w:t>
      </w:r>
      <w:r w:rsidRPr="00531BD3">
        <w:rPr>
          <w:rFonts w:hint="eastAsia"/>
          <w:rtl/>
        </w:rPr>
        <w:t>עניין</w:t>
      </w:r>
      <w:r w:rsidRPr="00531BD3">
        <w:rPr>
          <w:rtl/>
        </w:rPr>
        <w:t xml:space="preserve"> </w:t>
      </w:r>
      <w:r w:rsidRPr="00531BD3">
        <w:rPr>
          <w:rFonts w:hint="eastAsia"/>
          <w:rtl/>
        </w:rPr>
        <w:t>אישי</w:t>
      </w:r>
      <w:r w:rsidRPr="00531BD3">
        <w:rPr>
          <w:rFonts w:hint="cs"/>
          <w:rtl/>
        </w:rPr>
        <w:t xml:space="preserve">) היא "לטובת החברה" (סעיף 270 לחוק). משמעות הדבר, כי אין די במנגנון הפרוצדורלי לצורך אישור העסקה, ועליה לעמוד גם במבחן המהותי של "טובת החברה" (וראו: עניין </w:t>
      </w:r>
      <w:proofErr w:type="spellStart"/>
      <w:r w:rsidRPr="00531BD3">
        <w:rPr>
          <w:rFonts w:ascii="Century" w:hAnsi="Century" w:cs="Miriam" w:hint="cs"/>
          <w:b/>
          <w:spacing w:val="0"/>
          <w:sz w:val="22"/>
          <w:szCs w:val="24"/>
          <w:rtl/>
        </w:rPr>
        <w:t>ורדניקוב</w:t>
      </w:r>
      <w:proofErr w:type="spellEnd"/>
      <w:r w:rsidRPr="00531BD3">
        <w:rPr>
          <w:rFonts w:hint="cs"/>
          <w:rtl/>
        </w:rPr>
        <w:t>, פסקה 102).</w:t>
      </w:r>
    </w:p>
    <w:p w:rsidR="008A4DD4" w:rsidRPr="00531BD3" w:rsidRDefault="008A4DD4" w:rsidP="008A4DD4">
      <w:pPr>
        <w:pStyle w:val="Ruller4"/>
        <w:numPr>
          <w:ilvl w:val="0"/>
          <w:numId w:val="0"/>
        </w:numPr>
      </w:pPr>
    </w:p>
    <w:p w:rsidR="008A4DD4" w:rsidRPr="00531BD3" w:rsidRDefault="008A4DD4" w:rsidP="008A4DD4">
      <w:pPr>
        <w:pStyle w:val="Ruller4"/>
      </w:pPr>
      <w:r w:rsidRPr="00531BD3">
        <w:rPr>
          <w:rFonts w:hint="cs"/>
          <w:rtl/>
        </w:rPr>
        <w:t xml:space="preserve">זאת ועוד. בחוק החברות ניכרת מגמה של התפתחות והעמקת ההתמודדות עם המתח שעשויות לגלם עסקאות מסוג זה של בעלי עניין בכלל ושל בעל השליטה בפרט, תוך הקשחת התנאים לאישורן. מגמת החמרה זו, הבאה לידי ביטוי בתיקוני חקיקה שנערכו לאורך השנים, אינה עניין של מה בכך, והיא נועדה לנטרל ככל האפשר את פוטנציאל ניגוד העניינים בעסקאות מסוג זה (עניין </w:t>
      </w:r>
      <w:r w:rsidRPr="00531BD3">
        <w:rPr>
          <w:rFonts w:ascii="Century" w:hAnsi="Century" w:cs="Miriam" w:hint="cs"/>
          <w:b/>
          <w:spacing w:val="0"/>
          <w:sz w:val="22"/>
          <w:szCs w:val="24"/>
          <w:rtl/>
        </w:rPr>
        <w:t>גדיש</w:t>
      </w:r>
      <w:r w:rsidRPr="00531BD3">
        <w:rPr>
          <w:rtl/>
        </w:rPr>
        <w:t xml:space="preserve">, </w:t>
      </w:r>
      <w:r w:rsidRPr="00531BD3">
        <w:rPr>
          <w:rFonts w:hint="eastAsia"/>
          <w:rtl/>
        </w:rPr>
        <w:t>פסקה</w:t>
      </w:r>
      <w:r w:rsidRPr="00531BD3">
        <w:rPr>
          <w:rtl/>
        </w:rPr>
        <w:t xml:space="preserve"> </w:t>
      </w:r>
      <w:r w:rsidRPr="00531BD3">
        <w:rPr>
          <w:rFonts w:hint="cs"/>
          <w:rtl/>
        </w:rPr>
        <w:t xml:space="preserve">31; עניין </w:t>
      </w:r>
      <w:proofErr w:type="spellStart"/>
      <w:r w:rsidRPr="00531BD3">
        <w:rPr>
          <w:rFonts w:ascii="Century" w:hAnsi="Century" w:cs="Miriam" w:hint="cs"/>
          <w:b/>
          <w:spacing w:val="0"/>
          <w:sz w:val="22"/>
          <w:szCs w:val="24"/>
          <w:rtl/>
        </w:rPr>
        <w:t>ורדניקוב</w:t>
      </w:r>
      <w:proofErr w:type="spellEnd"/>
      <w:r w:rsidRPr="00531BD3">
        <w:rPr>
          <w:rFonts w:hint="cs"/>
          <w:rtl/>
        </w:rPr>
        <w:t xml:space="preserve">, פסקה 84). בתוך כך למשל, בעבר, לצורך אישור האסיפה הכללית, נדרש אישור של </w:t>
      </w:r>
      <w:r w:rsidRPr="00531BD3">
        <w:rPr>
          <w:rFonts w:ascii="Century" w:hAnsi="Century" w:cs="Miriam" w:hint="cs"/>
          <w:b/>
          <w:spacing w:val="0"/>
          <w:sz w:val="22"/>
          <w:szCs w:val="24"/>
          <w:rtl/>
        </w:rPr>
        <w:t>שליש</w:t>
      </w:r>
      <w:r w:rsidRPr="00531BD3">
        <w:rPr>
          <w:rFonts w:hint="cs"/>
          <w:rtl/>
        </w:rPr>
        <w:t xml:space="preserve"> מקולות בעלי המניות שאינם בעלי עניין אישי בעסקה (סעיף 96לו לפקודת החברות [נוסח חדש], התשמ"ג-1983 שאומץ בנוסח המקורי של סעיף 275 לחוק; וראו למשל: עניין </w:t>
      </w:r>
      <w:r w:rsidRPr="00531BD3">
        <w:rPr>
          <w:rFonts w:ascii="Century" w:hAnsi="Century" w:cs="Miriam" w:hint="cs"/>
          <w:b/>
          <w:spacing w:val="0"/>
          <w:sz w:val="22"/>
          <w:szCs w:val="24"/>
          <w:rtl/>
        </w:rPr>
        <w:t>ערד</w:t>
      </w:r>
      <w:r w:rsidRPr="00531BD3">
        <w:rPr>
          <w:rFonts w:hint="cs"/>
          <w:rtl/>
        </w:rPr>
        <w:t>, עמ' 332-331). לעומת זאת, בתיקון מס' 16 לחוק החברות (חוק החברות (תיקון מס' 16), התשע"א-2011) הוחמרה הדרישה כך שלצורך אישור האסיפה הכללית נדרש קיומו של רוב מצד קולות בעלי המניות שאינם בעלי עניין אישי. באותו תיקון אף הוחמרו הדרישות בהיבטים נוספים, גם לגבי הרכב ועדת הביקורת (סעיף 115 לחוק).</w:t>
      </w:r>
    </w:p>
    <w:p w:rsidR="008A4DD4" w:rsidRPr="00531BD3" w:rsidRDefault="008A4DD4" w:rsidP="008A4DD4">
      <w:pPr>
        <w:pStyle w:val="Ruller4"/>
        <w:numPr>
          <w:ilvl w:val="0"/>
          <w:numId w:val="0"/>
        </w:numPr>
      </w:pPr>
    </w:p>
    <w:p w:rsidR="008A4DD4" w:rsidRPr="00531BD3" w:rsidRDefault="008A4DD4" w:rsidP="008A4DD4">
      <w:pPr>
        <w:pStyle w:val="Ruller4"/>
        <w:rPr>
          <w:rtl/>
        </w:rPr>
      </w:pPr>
      <w:r w:rsidRPr="00531BD3">
        <w:rPr>
          <w:rFonts w:hint="cs"/>
          <w:rtl/>
        </w:rPr>
        <w:t xml:space="preserve"> בנוסף וכחלק מאותה מגמה, על רקע החשש כי בעל השליטה יכוון את פעולות החברה לטובת עניינו האישי, תוך גרימת נזק לחברה ולבעלי מניות אחרים, בתיקון מס' 22 לחוק החברות (שהוכנס במסגרת החוק לקידום התחרות ולצמצום הריכוזיות, התשע"ד-2013) נוסף סעיף 117(1ב) לחוק (אשר לפי הוראת סעיף 25(ב) לחוק לקידום התחרות נכנס לתוקף בחודש ינואר 2014) המוסיף לתפקידי ועדת הביקורת לגבי עסקה עם בעל השליטה או עסקה שלבעל השליטה יש בה עניין אישי, את החובה לקיים "הליך תחרותי" או "הליכים אחרים" טרם הבאת העסקה לאישור מוסדות החברה. וכך הוגדר התפקיד הנוסף לתפקידי ועדת הביקורת בלשון הסעיף:</w:t>
      </w:r>
    </w:p>
    <w:p w:rsidR="008A4DD4" w:rsidRPr="00531BD3" w:rsidRDefault="008A4DD4" w:rsidP="008A4DD4">
      <w:pPr>
        <w:pStyle w:val="Ruller41"/>
        <w:rPr>
          <w:rtl/>
        </w:rPr>
      </w:pPr>
    </w:p>
    <w:p w:rsidR="008A4DD4" w:rsidRPr="00531BD3" w:rsidRDefault="008A4DD4" w:rsidP="008A4DD4">
      <w:pPr>
        <w:pStyle w:val="Ruller5"/>
      </w:pPr>
      <w:r w:rsidRPr="00531BD3">
        <w:rPr>
          <w:rFonts w:hint="cs"/>
          <w:rtl/>
        </w:rPr>
        <w:t>ל</w:t>
      </w:r>
      <w:r w:rsidRPr="00531BD3">
        <w:rPr>
          <w:rFonts w:hint="eastAsia"/>
          <w:rtl/>
        </w:rPr>
        <w:t>קבוע</w:t>
      </w:r>
      <w:r w:rsidRPr="00531BD3">
        <w:rPr>
          <w:rtl/>
        </w:rPr>
        <w:t xml:space="preserve"> </w:t>
      </w:r>
      <w:r w:rsidRPr="00531BD3">
        <w:rPr>
          <w:rFonts w:hint="eastAsia"/>
          <w:rtl/>
        </w:rPr>
        <w:t>לגבי</w:t>
      </w:r>
      <w:r w:rsidRPr="00531BD3">
        <w:rPr>
          <w:rtl/>
        </w:rPr>
        <w:t xml:space="preserve"> </w:t>
      </w:r>
      <w:r w:rsidRPr="00531BD3">
        <w:rPr>
          <w:rFonts w:hint="eastAsia"/>
          <w:rtl/>
        </w:rPr>
        <w:t>עסקאות</w:t>
      </w:r>
      <w:r w:rsidRPr="00531BD3">
        <w:rPr>
          <w:rtl/>
        </w:rPr>
        <w:t xml:space="preserve"> </w:t>
      </w:r>
      <w:r w:rsidRPr="00531BD3">
        <w:rPr>
          <w:rFonts w:hint="eastAsia"/>
          <w:rtl/>
        </w:rPr>
        <w:t>כאמור</w:t>
      </w:r>
      <w:r w:rsidRPr="00531BD3">
        <w:rPr>
          <w:rtl/>
        </w:rPr>
        <w:t xml:space="preserve"> </w:t>
      </w:r>
      <w:r w:rsidRPr="00531BD3">
        <w:rPr>
          <w:rFonts w:hint="eastAsia"/>
          <w:rtl/>
        </w:rPr>
        <w:t>בסעיף</w:t>
      </w:r>
      <w:r w:rsidRPr="00531BD3">
        <w:rPr>
          <w:rtl/>
        </w:rPr>
        <w:t xml:space="preserve"> 270(4) </w:t>
      </w:r>
      <w:r w:rsidRPr="00531BD3">
        <w:rPr>
          <w:rFonts w:hint="eastAsia"/>
          <w:rtl/>
        </w:rPr>
        <w:t>או</w:t>
      </w:r>
      <w:r w:rsidRPr="00531BD3">
        <w:rPr>
          <w:rtl/>
        </w:rPr>
        <w:t xml:space="preserve"> (4</w:t>
      </w:r>
      <w:r w:rsidRPr="00531BD3">
        <w:rPr>
          <w:rFonts w:hint="eastAsia"/>
          <w:rtl/>
        </w:rPr>
        <w:t>א</w:t>
      </w:r>
      <w:r w:rsidRPr="00531BD3">
        <w:rPr>
          <w:rtl/>
        </w:rPr>
        <w:t xml:space="preserve">), </w:t>
      </w:r>
      <w:r w:rsidRPr="00531BD3">
        <w:rPr>
          <w:rFonts w:hint="eastAsia"/>
          <w:rtl/>
        </w:rPr>
        <w:t>אף</w:t>
      </w:r>
      <w:r w:rsidRPr="00531BD3">
        <w:rPr>
          <w:rtl/>
        </w:rPr>
        <w:t xml:space="preserve"> </w:t>
      </w:r>
      <w:r w:rsidRPr="00531BD3">
        <w:rPr>
          <w:rFonts w:hint="eastAsia"/>
          <w:rtl/>
        </w:rPr>
        <w:t>אם</w:t>
      </w:r>
      <w:r w:rsidRPr="00531BD3">
        <w:rPr>
          <w:rtl/>
        </w:rPr>
        <w:t xml:space="preserve"> </w:t>
      </w:r>
      <w:r w:rsidRPr="00531BD3">
        <w:rPr>
          <w:rFonts w:hint="eastAsia"/>
          <w:rtl/>
        </w:rPr>
        <w:t>אינן</w:t>
      </w:r>
      <w:r w:rsidRPr="00531BD3">
        <w:rPr>
          <w:rtl/>
        </w:rPr>
        <w:t xml:space="preserve"> </w:t>
      </w:r>
      <w:r w:rsidRPr="00531BD3">
        <w:rPr>
          <w:rFonts w:hint="eastAsia"/>
          <w:rtl/>
        </w:rPr>
        <w:t>עסקאות</w:t>
      </w:r>
      <w:r w:rsidRPr="00531BD3">
        <w:rPr>
          <w:rtl/>
        </w:rPr>
        <w:t xml:space="preserve"> </w:t>
      </w:r>
      <w:r w:rsidRPr="00531BD3">
        <w:rPr>
          <w:rFonts w:hint="eastAsia"/>
          <w:rtl/>
        </w:rPr>
        <w:t>חריגות</w:t>
      </w:r>
      <w:r w:rsidRPr="00531BD3">
        <w:rPr>
          <w:rtl/>
        </w:rPr>
        <w:t xml:space="preserve">, </w:t>
      </w:r>
      <w:r w:rsidRPr="00531BD3">
        <w:rPr>
          <w:rFonts w:hint="eastAsia"/>
          <w:rtl/>
        </w:rPr>
        <w:t>חובה</w:t>
      </w:r>
      <w:r w:rsidRPr="00531BD3">
        <w:rPr>
          <w:rtl/>
        </w:rPr>
        <w:t xml:space="preserve"> </w:t>
      </w:r>
      <w:r w:rsidRPr="00531BD3">
        <w:rPr>
          <w:rFonts w:hint="eastAsia"/>
          <w:rtl/>
        </w:rPr>
        <w:t>לקיים</w:t>
      </w:r>
      <w:r w:rsidRPr="00531BD3">
        <w:rPr>
          <w:rtl/>
        </w:rPr>
        <w:t xml:space="preserve"> </w:t>
      </w:r>
      <w:r w:rsidRPr="00531BD3">
        <w:rPr>
          <w:rFonts w:hint="eastAsia"/>
          <w:rtl/>
        </w:rPr>
        <w:t>הליך</w:t>
      </w:r>
      <w:r w:rsidRPr="00531BD3">
        <w:rPr>
          <w:rtl/>
        </w:rPr>
        <w:t xml:space="preserve"> </w:t>
      </w:r>
      <w:r w:rsidRPr="00531BD3">
        <w:rPr>
          <w:rFonts w:hint="eastAsia"/>
          <w:rtl/>
        </w:rPr>
        <w:t>תחרותי</w:t>
      </w:r>
      <w:r w:rsidRPr="00531BD3">
        <w:rPr>
          <w:rtl/>
        </w:rPr>
        <w:t xml:space="preserve">, </w:t>
      </w:r>
      <w:r w:rsidRPr="00531BD3">
        <w:rPr>
          <w:rFonts w:hint="eastAsia"/>
          <w:rtl/>
        </w:rPr>
        <w:t>בפיקוחה</w:t>
      </w:r>
      <w:r w:rsidRPr="00531BD3">
        <w:rPr>
          <w:rtl/>
        </w:rPr>
        <w:t xml:space="preserve"> </w:t>
      </w:r>
      <w:r w:rsidRPr="00531BD3">
        <w:rPr>
          <w:rFonts w:hint="eastAsia"/>
          <w:rtl/>
        </w:rPr>
        <w:t>של</w:t>
      </w:r>
      <w:r w:rsidRPr="00531BD3">
        <w:rPr>
          <w:rtl/>
        </w:rPr>
        <w:t xml:space="preserve"> </w:t>
      </w:r>
      <w:r w:rsidRPr="00531BD3">
        <w:rPr>
          <w:rFonts w:hint="eastAsia"/>
          <w:rtl/>
        </w:rPr>
        <w:t>הוועדה</w:t>
      </w:r>
      <w:r w:rsidRPr="00531BD3">
        <w:rPr>
          <w:rtl/>
        </w:rPr>
        <w:t xml:space="preserve"> </w:t>
      </w:r>
      <w:r w:rsidRPr="00531BD3">
        <w:rPr>
          <w:rFonts w:hint="eastAsia"/>
          <w:rtl/>
        </w:rPr>
        <w:t>או</w:t>
      </w:r>
      <w:r w:rsidRPr="00531BD3">
        <w:rPr>
          <w:rtl/>
        </w:rPr>
        <w:t xml:space="preserve"> </w:t>
      </w:r>
      <w:r w:rsidRPr="00531BD3">
        <w:rPr>
          <w:rFonts w:hint="eastAsia"/>
          <w:rtl/>
        </w:rPr>
        <w:t>מי</w:t>
      </w:r>
      <w:r w:rsidRPr="00531BD3">
        <w:rPr>
          <w:rtl/>
        </w:rPr>
        <w:t xml:space="preserve"> </w:t>
      </w:r>
      <w:r w:rsidRPr="00531BD3">
        <w:rPr>
          <w:rFonts w:hint="eastAsia"/>
          <w:rtl/>
        </w:rPr>
        <w:t>שתקבע</w:t>
      </w:r>
      <w:r w:rsidRPr="00531BD3">
        <w:rPr>
          <w:rtl/>
        </w:rPr>
        <w:t xml:space="preserve"> </w:t>
      </w:r>
      <w:r w:rsidRPr="00531BD3">
        <w:rPr>
          <w:rFonts w:hint="eastAsia"/>
          <w:rtl/>
        </w:rPr>
        <w:t>לעניין</w:t>
      </w:r>
      <w:r w:rsidRPr="00531BD3">
        <w:rPr>
          <w:rtl/>
        </w:rPr>
        <w:t xml:space="preserve"> </w:t>
      </w:r>
      <w:r w:rsidRPr="00531BD3">
        <w:rPr>
          <w:rFonts w:hint="eastAsia"/>
          <w:rtl/>
        </w:rPr>
        <w:t>זה</w:t>
      </w:r>
      <w:r w:rsidRPr="00531BD3">
        <w:rPr>
          <w:rtl/>
        </w:rPr>
        <w:t xml:space="preserve"> </w:t>
      </w:r>
      <w:r w:rsidRPr="00531BD3">
        <w:rPr>
          <w:rFonts w:hint="eastAsia"/>
          <w:rtl/>
        </w:rPr>
        <w:t>ולפי</w:t>
      </w:r>
      <w:r w:rsidRPr="00531BD3">
        <w:rPr>
          <w:rtl/>
        </w:rPr>
        <w:t xml:space="preserve"> </w:t>
      </w:r>
      <w:r w:rsidRPr="00531BD3">
        <w:rPr>
          <w:rFonts w:hint="eastAsia"/>
          <w:rtl/>
        </w:rPr>
        <w:t>אמות</w:t>
      </w:r>
      <w:r w:rsidRPr="00531BD3">
        <w:rPr>
          <w:rtl/>
        </w:rPr>
        <w:t xml:space="preserve"> </w:t>
      </w:r>
      <w:r w:rsidRPr="00531BD3">
        <w:rPr>
          <w:rFonts w:hint="eastAsia"/>
          <w:rtl/>
        </w:rPr>
        <w:t>מידה</w:t>
      </w:r>
      <w:r w:rsidRPr="00531BD3">
        <w:rPr>
          <w:rtl/>
        </w:rPr>
        <w:t xml:space="preserve"> </w:t>
      </w:r>
      <w:r w:rsidRPr="00531BD3">
        <w:rPr>
          <w:rFonts w:hint="eastAsia"/>
          <w:rtl/>
        </w:rPr>
        <w:t>שתקבע</w:t>
      </w:r>
      <w:r w:rsidRPr="00531BD3">
        <w:rPr>
          <w:rtl/>
        </w:rPr>
        <w:t xml:space="preserve">, </w:t>
      </w:r>
      <w:r w:rsidRPr="00531BD3">
        <w:rPr>
          <w:rFonts w:hint="eastAsia"/>
          <w:rtl/>
        </w:rPr>
        <w:t>או</w:t>
      </w:r>
      <w:r w:rsidRPr="00531BD3">
        <w:rPr>
          <w:rtl/>
        </w:rPr>
        <w:t xml:space="preserve"> </w:t>
      </w:r>
      <w:r w:rsidRPr="00531BD3">
        <w:rPr>
          <w:rFonts w:hint="eastAsia"/>
          <w:rtl/>
        </w:rPr>
        <w:t>לקבוע</w:t>
      </w:r>
      <w:r w:rsidRPr="00531BD3">
        <w:rPr>
          <w:rtl/>
        </w:rPr>
        <w:t xml:space="preserve"> </w:t>
      </w:r>
      <w:r w:rsidRPr="00531BD3">
        <w:rPr>
          <w:rFonts w:hint="eastAsia"/>
          <w:rtl/>
        </w:rPr>
        <w:t>כי</w:t>
      </w:r>
      <w:r w:rsidRPr="00531BD3">
        <w:rPr>
          <w:rtl/>
        </w:rPr>
        <w:t xml:space="preserve"> </w:t>
      </w:r>
      <w:r w:rsidRPr="00531BD3">
        <w:rPr>
          <w:rFonts w:hint="eastAsia"/>
          <w:rtl/>
        </w:rPr>
        <w:t>יקוימו</w:t>
      </w:r>
      <w:r w:rsidRPr="00531BD3">
        <w:rPr>
          <w:rtl/>
        </w:rPr>
        <w:t xml:space="preserve"> </w:t>
      </w:r>
      <w:r w:rsidRPr="00531BD3">
        <w:rPr>
          <w:rFonts w:hint="eastAsia"/>
          <w:rtl/>
        </w:rPr>
        <w:t>הליכים</w:t>
      </w:r>
      <w:r w:rsidRPr="00531BD3">
        <w:rPr>
          <w:rtl/>
        </w:rPr>
        <w:t xml:space="preserve"> </w:t>
      </w:r>
      <w:r w:rsidRPr="00531BD3">
        <w:rPr>
          <w:rFonts w:hint="eastAsia"/>
          <w:rtl/>
        </w:rPr>
        <w:t>אחרים</w:t>
      </w:r>
      <w:r w:rsidRPr="00531BD3">
        <w:rPr>
          <w:rtl/>
        </w:rPr>
        <w:t xml:space="preserve"> </w:t>
      </w:r>
      <w:r w:rsidRPr="00531BD3">
        <w:rPr>
          <w:rFonts w:hint="eastAsia"/>
          <w:rtl/>
        </w:rPr>
        <w:t>שתקבע</w:t>
      </w:r>
      <w:r w:rsidRPr="00531BD3">
        <w:rPr>
          <w:rtl/>
        </w:rPr>
        <w:t xml:space="preserve"> </w:t>
      </w:r>
      <w:r w:rsidRPr="00531BD3">
        <w:rPr>
          <w:rFonts w:hint="eastAsia"/>
          <w:rtl/>
        </w:rPr>
        <w:t>ועדת</w:t>
      </w:r>
      <w:r w:rsidRPr="00531BD3">
        <w:rPr>
          <w:rtl/>
        </w:rPr>
        <w:t xml:space="preserve"> </w:t>
      </w:r>
      <w:r w:rsidRPr="00531BD3">
        <w:rPr>
          <w:rFonts w:hint="eastAsia"/>
          <w:rtl/>
        </w:rPr>
        <w:t>הביקורת</w:t>
      </w:r>
      <w:r w:rsidRPr="00531BD3">
        <w:rPr>
          <w:rtl/>
        </w:rPr>
        <w:t xml:space="preserve">, </w:t>
      </w:r>
      <w:r w:rsidRPr="00531BD3">
        <w:rPr>
          <w:rFonts w:hint="eastAsia"/>
          <w:rtl/>
        </w:rPr>
        <w:t>בטרם</w:t>
      </w:r>
      <w:r w:rsidRPr="00531BD3">
        <w:rPr>
          <w:rtl/>
        </w:rPr>
        <w:t xml:space="preserve"> </w:t>
      </w:r>
      <w:r w:rsidRPr="00531BD3">
        <w:rPr>
          <w:rFonts w:hint="eastAsia"/>
          <w:rtl/>
        </w:rPr>
        <w:t>התקשרות</w:t>
      </w:r>
      <w:r w:rsidRPr="00531BD3">
        <w:rPr>
          <w:rtl/>
        </w:rPr>
        <w:t xml:space="preserve"> </w:t>
      </w:r>
      <w:r w:rsidRPr="00531BD3">
        <w:rPr>
          <w:rFonts w:hint="eastAsia"/>
          <w:rtl/>
        </w:rPr>
        <w:t>בעסקאות</w:t>
      </w:r>
      <w:r w:rsidRPr="00531BD3">
        <w:rPr>
          <w:rtl/>
        </w:rPr>
        <w:t xml:space="preserve"> </w:t>
      </w:r>
      <w:r w:rsidRPr="00531BD3">
        <w:rPr>
          <w:rFonts w:hint="eastAsia"/>
          <w:rtl/>
        </w:rPr>
        <w:t>כאמור</w:t>
      </w:r>
      <w:r w:rsidRPr="00531BD3">
        <w:rPr>
          <w:rtl/>
        </w:rPr>
        <w:t xml:space="preserve">, </w:t>
      </w:r>
      <w:r w:rsidRPr="00531BD3">
        <w:rPr>
          <w:rFonts w:hint="eastAsia"/>
          <w:rtl/>
        </w:rPr>
        <w:t>והכול</w:t>
      </w:r>
      <w:r w:rsidRPr="00531BD3">
        <w:rPr>
          <w:rtl/>
        </w:rPr>
        <w:t xml:space="preserve"> </w:t>
      </w:r>
      <w:r w:rsidRPr="00531BD3">
        <w:rPr>
          <w:rFonts w:hint="eastAsia"/>
          <w:rtl/>
        </w:rPr>
        <w:t>בהתאם</w:t>
      </w:r>
      <w:r w:rsidRPr="00531BD3">
        <w:rPr>
          <w:rtl/>
        </w:rPr>
        <w:t xml:space="preserve"> </w:t>
      </w:r>
      <w:r w:rsidRPr="00531BD3">
        <w:rPr>
          <w:rFonts w:hint="eastAsia"/>
          <w:rtl/>
        </w:rPr>
        <w:t>לסוג</w:t>
      </w:r>
      <w:r w:rsidRPr="00531BD3">
        <w:rPr>
          <w:rtl/>
        </w:rPr>
        <w:t xml:space="preserve"> </w:t>
      </w:r>
      <w:r w:rsidRPr="00531BD3">
        <w:rPr>
          <w:rFonts w:hint="eastAsia"/>
          <w:rtl/>
        </w:rPr>
        <w:t>העסקה</w:t>
      </w:r>
      <w:r w:rsidRPr="00531BD3">
        <w:rPr>
          <w:rtl/>
        </w:rPr>
        <w:t xml:space="preserve">, </w:t>
      </w:r>
      <w:r w:rsidRPr="00531BD3">
        <w:rPr>
          <w:rFonts w:hint="eastAsia"/>
          <w:rtl/>
        </w:rPr>
        <w:t>ורשאית</w:t>
      </w:r>
      <w:r w:rsidRPr="00531BD3">
        <w:rPr>
          <w:rtl/>
        </w:rPr>
        <w:t xml:space="preserve"> </w:t>
      </w:r>
      <w:r w:rsidRPr="00531BD3">
        <w:rPr>
          <w:rFonts w:hint="eastAsia"/>
          <w:rtl/>
        </w:rPr>
        <w:t>היא</w:t>
      </w:r>
      <w:r w:rsidRPr="00531BD3">
        <w:rPr>
          <w:rtl/>
        </w:rPr>
        <w:t xml:space="preserve"> </w:t>
      </w:r>
      <w:r w:rsidRPr="00531BD3">
        <w:rPr>
          <w:rFonts w:hint="eastAsia"/>
          <w:rtl/>
        </w:rPr>
        <w:t>לקבוע</w:t>
      </w:r>
      <w:r w:rsidRPr="00531BD3">
        <w:rPr>
          <w:rtl/>
        </w:rPr>
        <w:t xml:space="preserve"> </w:t>
      </w:r>
      <w:r w:rsidRPr="00531BD3">
        <w:rPr>
          <w:rFonts w:hint="eastAsia"/>
          <w:rtl/>
        </w:rPr>
        <w:t>לעניין</w:t>
      </w:r>
      <w:r w:rsidRPr="00531BD3">
        <w:rPr>
          <w:rtl/>
        </w:rPr>
        <w:t xml:space="preserve"> </w:t>
      </w:r>
      <w:r w:rsidRPr="00531BD3">
        <w:rPr>
          <w:rFonts w:hint="eastAsia"/>
          <w:rtl/>
        </w:rPr>
        <w:t>זה</w:t>
      </w:r>
      <w:r w:rsidRPr="00531BD3">
        <w:rPr>
          <w:rtl/>
        </w:rPr>
        <w:t xml:space="preserve"> </w:t>
      </w:r>
      <w:r w:rsidRPr="00531BD3">
        <w:rPr>
          <w:rFonts w:hint="eastAsia"/>
          <w:rtl/>
        </w:rPr>
        <w:t>אמות</w:t>
      </w:r>
      <w:r w:rsidRPr="00531BD3">
        <w:rPr>
          <w:rtl/>
        </w:rPr>
        <w:t xml:space="preserve"> </w:t>
      </w:r>
      <w:r w:rsidRPr="00531BD3">
        <w:rPr>
          <w:rFonts w:hint="eastAsia"/>
          <w:rtl/>
        </w:rPr>
        <w:t>מידה</w:t>
      </w:r>
      <w:r w:rsidRPr="00531BD3">
        <w:rPr>
          <w:rtl/>
        </w:rPr>
        <w:t xml:space="preserve"> </w:t>
      </w:r>
      <w:r w:rsidRPr="00531BD3">
        <w:rPr>
          <w:rFonts w:hint="eastAsia"/>
          <w:rtl/>
        </w:rPr>
        <w:t>אחת</w:t>
      </w:r>
      <w:r w:rsidRPr="00531BD3">
        <w:rPr>
          <w:rtl/>
        </w:rPr>
        <w:t xml:space="preserve"> </w:t>
      </w:r>
      <w:r w:rsidRPr="00531BD3">
        <w:rPr>
          <w:rFonts w:hint="eastAsia"/>
          <w:rtl/>
        </w:rPr>
        <w:t>לשנה</w:t>
      </w:r>
      <w:r w:rsidRPr="00531BD3">
        <w:rPr>
          <w:rtl/>
        </w:rPr>
        <w:t xml:space="preserve"> </w:t>
      </w:r>
      <w:r w:rsidRPr="00531BD3">
        <w:rPr>
          <w:rFonts w:hint="eastAsia"/>
          <w:rtl/>
        </w:rPr>
        <w:t>מרא</w:t>
      </w:r>
      <w:r w:rsidRPr="00531BD3">
        <w:rPr>
          <w:rFonts w:hint="cs"/>
          <w:rtl/>
        </w:rPr>
        <w:t>ש.</w:t>
      </w:r>
    </w:p>
    <w:p w:rsidR="008A4DD4" w:rsidRPr="00531BD3" w:rsidRDefault="008A4DD4" w:rsidP="008A4DD4">
      <w:pPr>
        <w:pStyle w:val="Ruller4"/>
        <w:numPr>
          <w:ilvl w:val="0"/>
          <w:numId w:val="0"/>
        </w:numPr>
        <w:rPr>
          <w:rtl/>
        </w:rPr>
      </w:pPr>
    </w:p>
    <w:p w:rsidR="008A4DD4" w:rsidRPr="00531BD3" w:rsidRDefault="008A4DD4" w:rsidP="008A4DD4">
      <w:pPr>
        <w:pStyle w:val="Ruller41"/>
        <w:rPr>
          <w:rtl/>
        </w:rPr>
      </w:pPr>
      <w:r w:rsidRPr="00531BD3">
        <w:rPr>
          <w:rtl/>
        </w:rPr>
        <w:tab/>
      </w:r>
      <w:r w:rsidRPr="00531BD3">
        <w:rPr>
          <w:rFonts w:hint="cs"/>
          <w:rtl/>
        </w:rPr>
        <w:t xml:space="preserve">בשונה מיתר ההוראות שנקבעו לעניין אישור עסקאות בעלי עניין, הוראה זו עניינה בתכנם של התהליכים הפנימיים הקודמים לאישור העסקה ובפעולות שנוקטת החברה לבחינת העסקה וגיבוש תנאיה, ולא רק בפרוצדורת האישור הסופית (ראו גם: מיכל אגמון גונן "הטוב (בעלי מניות המיעוט)?! הרע (בעלי מניות השליטה)?! ובית המשפט </w:t>
      </w:r>
      <w:r w:rsidRPr="00531BD3">
        <w:rPr>
          <w:rtl/>
        </w:rPr>
        <w:t>–</w:t>
      </w:r>
      <w:r w:rsidRPr="00531BD3">
        <w:rPr>
          <w:rFonts w:hint="cs"/>
          <w:rtl/>
        </w:rPr>
        <w:t xml:space="preserve"> התערבות בתי המשפט בעסקאות בעלי עניין שעברו את הליכי האישור בחברה" </w:t>
      </w:r>
      <w:r w:rsidRPr="00531BD3">
        <w:rPr>
          <w:rFonts w:ascii="Century" w:hAnsi="Century" w:cs="Miriam" w:hint="cs"/>
          <w:b/>
          <w:spacing w:val="0"/>
          <w:szCs w:val="24"/>
          <w:rtl/>
        </w:rPr>
        <w:t>ספר גרוס</w:t>
      </w:r>
      <w:r w:rsidRPr="00531BD3">
        <w:rPr>
          <w:rFonts w:hint="cs"/>
          <w:rtl/>
        </w:rPr>
        <w:t xml:space="preserve"> 47, 55 (להלן: </w:t>
      </w:r>
      <w:r w:rsidRPr="00531BD3">
        <w:rPr>
          <w:rFonts w:ascii="Century" w:hAnsi="Century" w:cs="Miriam" w:hint="cs"/>
          <w:b/>
          <w:spacing w:val="0"/>
          <w:szCs w:val="24"/>
          <w:rtl/>
        </w:rPr>
        <w:t>אגמון גונן</w:t>
      </w:r>
      <w:r w:rsidRPr="00531BD3">
        <w:rPr>
          <w:rFonts w:hint="cs"/>
          <w:rtl/>
        </w:rPr>
        <w:t>); א</w:t>
      </w:r>
      <w:r w:rsidRPr="00531BD3">
        <w:rPr>
          <w:rFonts w:hint="eastAsia"/>
          <w:rtl/>
        </w:rPr>
        <w:t>סף</w:t>
      </w:r>
      <w:r w:rsidRPr="00531BD3">
        <w:rPr>
          <w:rtl/>
        </w:rPr>
        <w:t xml:space="preserve"> </w:t>
      </w:r>
      <w:r w:rsidRPr="00531BD3">
        <w:rPr>
          <w:rFonts w:hint="eastAsia"/>
          <w:rtl/>
        </w:rPr>
        <w:t>חמדני</w:t>
      </w:r>
      <w:r w:rsidRPr="00531BD3">
        <w:rPr>
          <w:rtl/>
        </w:rPr>
        <w:t xml:space="preserve"> </w:t>
      </w:r>
      <w:r w:rsidRPr="00531BD3">
        <w:rPr>
          <w:rFonts w:hint="eastAsia"/>
          <w:rtl/>
        </w:rPr>
        <w:t>ושרון</w:t>
      </w:r>
      <w:r w:rsidRPr="00531BD3">
        <w:rPr>
          <w:rtl/>
        </w:rPr>
        <w:t xml:space="preserve"> </w:t>
      </w:r>
      <w:proofErr w:type="spellStart"/>
      <w:r w:rsidRPr="00531BD3">
        <w:rPr>
          <w:rFonts w:hint="eastAsia"/>
          <w:rtl/>
        </w:rPr>
        <w:t>חנס</w:t>
      </w:r>
      <w:proofErr w:type="spellEnd"/>
      <w:r w:rsidRPr="00531BD3">
        <w:rPr>
          <w:rtl/>
        </w:rPr>
        <w:t xml:space="preserve"> "</w:t>
      </w:r>
      <w:r w:rsidRPr="00531BD3">
        <w:rPr>
          <w:rFonts w:hint="eastAsia"/>
          <w:rtl/>
        </w:rPr>
        <w:t>הגינות</w:t>
      </w:r>
      <w:r w:rsidRPr="00531BD3">
        <w:rPr>
          <w:rtl/>
        </w:rPr>
        <w:t xml:space="preserve"> </w:t>
      </w:r>
      <w:r w:rsidRPr="00531BD3">
        <w:rPr>
          <w:rFonts w:hint="eastAsia"/>
          <w:rtl/>
        </w:rPr>
        <w:t>מלאה</w:t>
      </w:r>
      <w:r w:rsidRPr="00531BD3">
        <w:rPr>
          <w:rtl/>
        </w:rPr>
        <w:t xml:space="preserve">! </w:t>
      </w:r>
      <w:r w:rsidRPr="00531BD3">
        <w:rPr>
          <w:rFonts w:hint="eastAsia"/>
          <w:rtl/>
        </w:rPr>
        <w:t>עיון</w:t>
      </w:r>
      <w:r w:rsidRPr="00531BD3">
        <w:rPr>
          <w:rtl/>
        </w:rPr>
        <w:t xml:space="preserve"> </w:t>
      </w:r>
      <w:r w:rsidRPr="00531BD3">
        <w:rPr>
          <w:rFonts w:hint="eastAsia"/>
          <w:rtl/>
        </w:rPr>
        <w:t>נוסף</w:t>
      </w:r>
      <w:r w:rsidRPr="00531BD3">
        <w:rPr>
          <w:rtl/>
        </w:rPr>
        <w:t xml:space="preserve"> </w:t>
      </w:r>
      <w:r w:rsidRPr="00531BD3">
        <w:rPr>
          <w:rFonts w:hint="eastAsia"/>
          <w:rtl/>
        </w:rPr>
        <w:t>בביקורת</w:t>
      </w:r>
      <w:r w:rsidRPr="00531BD3">
        <w:rPr>
          <w:rtl/>
        </w:rPr>
        <w:t xml:space="preserve"> </w:t>
      </w:r>
      <w:r w:rsidRPr="00531BD3">
        <w:rPr>
          <w:rFonts w:hint="eastAsia"/>
          <w:rtl/>
        </w:rPr>
        <w:t>השיפוטית</w:t>
      </w:r>
      <w:r w:rsidRPr="00531BD3">
        <w:rPr>
          <w:rtl/>
        </w:rPr>
        <w:t xml:space="preserve"> </w:t>
      </w:r>
      <w:r w:rsidRPr="00531BD3">
        <w:rPr>
          <w:rFonts w:hint="eastAsia"/>
          <w:rtl/>
        </w:rPr>
        <w:t>על</w:t>
      </w:r>
      <w:r w:rsidRPr="00531BD3">
        <w:rPr>
          <w:rtl/>
        </w:rPr>
        <w:t xml:space="preserve"> </w:t>
      </w:r>
      <w:r w:rsidRPr="00531BD3">
        <w:rPr>
          <w:rFonts w:hint="eastAsia"/>
          <w:rtl/>
        </w:rPr>
        <w:t>עסקאות</w:t>
      </w:r>
      <w:r w:rsidRPr="00531BD3">
        <w:rPr>
          <w:rtl/>
        </w:rPr>
        <w:t xml:space="preserve"> </w:t>
      </w:r>
      <w:r w:rsidRPr="00531BD3">
        <w:rPr>
          <w:rFonts w:hint="eastAsia"/>
          <w:rtl/>
        </w:rPr>
        <w:t>בניגוד</w:t>
      </w:r>
      <w:r w:rsidRPr="00531BD3">
        <w:rPr>
          <w:rtl/>
        </w:rPr>
        <w:t xml:space="preserve"> </w:t>
      </w:r>
      <w:r w:rsidRPr="00531BD3">
        <w:rPr>
          <w:rFonts w:hint="eastAsia"/>
          <w:rtl/>
        </w:rPr>
        <w:t>עניינים</w:t>
      </w:r>
      <w:r w:rsidRPr="00531BD3">
        <w:rPr>
          <w:rtl/>
        </w:rPr>
        <w:t xml:space="preserve">" </w:t>
      </w:r>
      <w:r w:rsidRPr="00531BD3">
        <w:rPr>
          <w:rFonts w:ascii="Century" w:hAnsi="Century" w:cs="Miriam" w:hint="eastAsia"/>
          <w:b/>
          <w:spacing w:val="0"/>
          <w:szCs w:val="24"/>
          <w:rtl/>
        </w:rPr>
        <w:t>משפטים</w:t>
      </w:r>
      <w:r w:rsidRPr="00531BD3">
        <w:rPr>
          <w:rtl/>
        </w:rPr>
        <w:t xml:space="preserve"> </w:t>
      </w:r>
      <w:proofErr w:type="spellStart"/>
      <w:r w:rsidRPr="00531BD3">
        <w:rPr>
          <w:rFonts w:hint="eastAsia"/>
          <w:rtl/>
        </w:rPr>
        <w:t>מז</w:t>
      </w:r>
      <w:proofErr w:type="spellEnd"/>
      <w:r w:rsidRPr="00531BD3">
        <w:rPr>
          <w:rtl/>
        </w:rPr>
        <w:t xml:space="preserve"> 761, </w:t>
      </w:r>
      <w:r w:rsidRPr="00531BD3">
        <w:rPr>
          <w:rFonts w:hint="cs"/>
          <w:rtl/>
        </w:rPr>
        <w:t xml:space="preserve">775 </w:t>
      </w:r>
      <w:r w:rsidRPr="00531BD3">
        <w:rPr>
          <w:rtl/>
        </w:rPr>
        <w:t>(2018)</w:t>
      </w:r>
      <w:r w:rsidRPr="00531BD3">
        <w:rPr>
          <w:rFonts w:hint="cs"/>
          <w:rtl/>
        </w:rPr>
        <w:t xml:space="preserve"> (להלן: </w:t>
      </w:r>
      <w:r w:rsidRPr="00531BD3">
        <w:rPr>
          <w:rFonts w:ascii="Century" w:hAnsi="Century" w:cs="Miriam" w:hint="cs"/>
          <w:b/>
          <w:spacing w:val="0"/>
          <w:szCs w:val="24"/>
          <w:rtl/>
        </w:rPr>
        <w:t xml:space="preserve">חמדני </w:t>
      </w:r>
      <w:proofErr w:type="spellStart"/>
      <w:r w:rsidRPr="00531BD3">
        <w:rPr>
          <w:rFonts w:ascii="Century" w:hAnsi="Century" w:cs="Miriam" w:hint="cs"/>
          <w:b/>
          <w:spacing w:val="0"/>
          <w:szCs w:val="24"/>
          <w:rtl/>
        </w:rPr>
        <w:t>וחנס</w:t>
      </w:r>
      <w:proofErr w:type="spellEnd"/>
      <w:r w:rsidRPr="00531BD3">
        <w:rPr>
          <w:rtl/>
        </w:rPr>
        <w:t>)</w:t>
      </w:r>
      <w:r w:rsidRPr="00531BD3">
        <w:rPr>
          <w:rFonts w:hint="cs"/>
          <w:rtl/>
        </w:rPr>
        <w:t>)</w:t>
      </w:r>
      <w:r w:rsidRPr="00531BD3">
        <w:rPr>
          <w:rtl/>
        </w:rPr>
        <w:t>.</w:t>
      </w:r>
    </w:p>
    <w:p w:rsidR="008A4DD4" w:rsidRPr="00531BD3" w:rsidRDefault="008A4DD4" w:rsidP="008A4DD4">
      <w:pPr>
        <w:pStyle w:val="Ruller41"/>
        <w:rPr>
          <w:rtl/>
        </w:rPr>
      </w:pPr>
    </w:p>
    <w:p w:rsidR="008A4DD4" w:rsidRPr="00531BD3" w:rsidRDefault="008A4DD4" w:rsidP="008A4DD4">
      <w:pPr>
        <w:pStyle w:val="Ruller4"/>
        <w:rPr>
          <w:rtl/>
        </w:rPr>
      </w:pPr>
      <w:r w:rsidRPr="00531BD3">
        <w:rPr>
          <w:rFonts w:hint="cs"/>
          <w:rtl/>
        </w:rPr>
        <w:t xml:space="preserve">מדובר בנדבך נוסף מעבר לאיסור שנקבע בחוק על השתתפות של בעל עניין בדיוני ועדת הביקורת או הדירקטוריון ובהצבעה בהן (לפי סעיף 278 לחוק), ומעבר לאישור משולש של עסקה עם בעל השליטה על ידי מוסדות החברה (סעיף 275 לחוק). יצוין כי בתחילה, בהצעת החוק המקורית שעמדה בבסיס התיקון (הצעת החוק לקידום התחרות ולצמצום הריכוזיות, התשע"ב-2012, </w:t>
      </w:r>
      <w:proofErr w:type="spellStart"/>
      <w:r w:rsidRPr="00531BD3">
        <w:rPr>
          <w:rFonts w:hint="cs"/>
          <w:rtl/>
        </w:rPr>
        <w:t>ה"ח</w:t>
      </w:r>
      <w:proofErr w:type="spellEnd"/>
      <w:r w:rsidRPr="00531BD3">
        <w:rPr>
          <w:rFonts w:hint="cs"/>
          <w:rtl/>
        </w:rPr>
        <w:t xml:space="preserve"> הממשלה 706; להלן: </w:t>
      </w:r>
      <w:r w:rsidRPr="00531BD3">
        <w:rPr>
          <w:rFonts w:ascii="Century" w:hAnsi="Century" w:cs="Miriam" w:hint="cs"/>
          <w:b/>
          <w:spacing w:val="0"/>
          <w:sz w:val="22"/>
          <w:szCs w:val="24"/>
          <w:rtl/>
        </w:rPr>
        <w:t>הצעת החוק</w:t>
      </w:r>
      <w:r w:rsidRPr="00531BD3">
        <w:rPr>
          <w:rFonts w:hint="cs"/>
          <w:rtl/>
        </w:rPr>
        <w:t xml:space="preserve">) דובר היה בהוראה </w:t>
      </w:r>
      <w:proofErr w:type="spellStart"/>
      <w:r w:rsidRPr="00531BD3">
        <w:rPr>
          <w:rFonts w:hint="cs"/>
          <w:rtl/>
        </w:rPr>
        <w:t>וולנטרית</w:t>
      </w:r>
      <w:proofErr w:type="spellEnd"/>
      <w:r w:rsidRPr="00531BD3">
        <w:rPr>
          <w:rFonts w:hint="cs"/>
          <w:rtl/>
        </w:rPr>
        <w:t xml:space="preserve"> ולא מחייבת שנגעה בעיקר לסוגי עסקאות מסוימים (עסקאות שעניינן "מכירת נכס, קבלת שירותי תפעול, רכישת מוצר מדף או קבלת הלוואה" (סעיף 26 להצעת החוק)). בדברי ההסבר הובהר כי בבסיס הוספת ההוראה בעניין קיום הליך תחרותי בעסקאות מסוימות עם בעל השליטה עומד "החשש מפני </w:t>
      </w:r>
      <w:r w:rsidRPr="00531BD3">
        <w:rPr>
          <w:rFonts w:hint="cs"/>
          <w:rtl/>
        </w:rPr>
        <w:lastRenderedPageBreak/>
        <w:t>שימוש בעסקאות עם בעל השליטה לצורך 'תיעול'. במדינות שונות מקובלת חזקה לכך שאם עסקה בוצעה באמצעות הליך תחרותי, הרי שזו העסקה הטובה ביותר שניתן להשיג" (</w:t>
      </w:r>
      <w:r w:rsidRPr="00531BD3">
        <w:rPr>
          <w:rFonts w:ascii="Century" w:hAnsi="Century" w:hint="cs"/>
          <w:sz w:val="22"/>
          <w:rtl/>
        </w:rPr>
        <w:t>הצעת החוק</w:t>
      </w:r>
      <w:r w:rsidRPr="00531BD3">
        <w:rPr>
          <w:rFonts w:hint="cs"/>
          <w:rtl/>
        </w:rPr>
        <w:t>, עמ' 1109). הצורך להתמודד עם "תיעול" (</w:t>
      </w:r>
      <w:r w:rsidRPr="00531BD3">
        <w:t>tunneling</w:t>
      </w:r>
      <w:r w:rsidRPr="00531BD3">
        <w:rPr>
          <w:rFonts w:hint="cs"/>
          <w:rtl/>
        </w:rPr>
        <w:t xml:space="preserve">) מצד בעל השליטה נדון בוועדה </w:t>
      </w:r>
      <w:r w:rsidRPr="00531BD3">
        <w:rPr>
          <w:rFonts w:hint="eastAsia"/>
          <w:rtl/>
        </w:rPr>
        <w:t>להגברת</w:t>
      </w:r>
      <w:r w:rsidRPr="00531BD3">
        <w:rPr>
          <w:rtl/>
        </w:rPr>
        <w:t xml:space="preserve"> </w:t>
      </w:r>
      <w:r w:rsidRPr="00531BD3">
        <w:rPr>
          <w:rFonts w:hint="eastAsia"/>
          <w:rtl/>
        </w:rPr>
        <w:t>התחרותיות</w:t>
      </w:r>
      <w:r w:rsidRPr="00531BD3">
        <w:rPr>
          <w:rtl/>
        </w:rPr>
        <w:t xml:space="preserve"> </w:t>
      </w:r>
      <w:r w:rsidRPr="00531BD3">
        <w:rPr>
          <w:rFonts w:hint="eastAsia"/>
          <w:rtl/>
        </w:rPr>
        <w:t>במשק</w:t>
      </w:r>
      <w:r w:rsidRPr="00531BD3">
        <w:rPr>
          <w:rtl/>
        </w:rPr>
        <w:t xml:space="preserve"> ("</w:t>
      </w:r>
      <w:r w:rsidRPr="00531BD3">
        <w:rPr>
          <w:rFonts w:hint="eastAsia"/>
          <w:rtl/>
        </w:rPr>
        <w:t>ועדת</w:t>
      </w:r>
      <w:r w:rsidRPr="00531BD3">
        <w:rPr>
          <w:rtl/>
        </w:rPr>
        <w:t xml:space="preserve"> </w:t>
      </w:r>
      <w:r w:rsidRPr="00531BD3">
        <w:rPr>
          <w:rFonts w:hint="eastAsia"/>
          <w:rtl/>
        </w:rPr>
        <w:t>הריכוזיות</w:t>
      </w:r>
      <w:r w:rsidRPr="00531BD3">
        <w:rPr>
          <w:rtl/>
        </w:rPr>
        <w:t>"),</w:t>
      </w:r>
      <w:r w:rsidRPr="00531BD3">
        <w:rPr>
          <w:rFonts w:hint="cs"/>
          <w:rtl/>
        </w:rPr>
        <w:t xml:space="preserve"> אשר על בסיס המלצותיה גובשה הצעת החוק</w:t>
      </w:r>
      <w:r w:rsidRPr="00531BD3">
        <w:rPr>
          <w:rtl/>
        </w:rPr>
        <w:t xml:space="preserve">. </w:t>
      </w:r>
      <w:r w:rsidRPr="00531BD3">
        <w:rPr>
          <w:rFonts w:hint="cs"/>
          <w:rtl/>
        </w:rPr>
        <w:t xml:space="preserve">בטיוטת </w:t>
      </w:r>
      <w:r w:rsidRPr="00531BD3">
        <w:rPr>
          <w:rFonts w:hint="eastAsia"/>
          <w:rtl/>
        </w:rPr>
        <w:t>ההמלצות שגיבשה</w:t>
      </w:r>
      <w:r w:rsidRPr="00531BD3">
        <w:rPr>
          <w:rFonts w:hint="cs"/>
          <w:rtl/>
        </w:rPr>
        <w:t xml:space="preserve"> הוועדה, ניתנה הדעת לניגוד העניינים האפשרי בין בעל השליטה לבין יתר המשקיעים במצבים מסוימים (ובעיקר במבנה "פירמידאלי" בו קיימות קבוצות עסקיות ממונפות ביחס להון העצמי של בעל השליטה), ניגוד עניינים אשר "</w:t>
      </w:r>
      <w:r w:rsidRPr="00531BD3">
        <w:rPr>
          <w:rFonts w:hint="eastAsia"/>
          <w:rtl/>
        </w:rPr>
        <w:t>יכול</w:t>
      </w:r>
      <w:r w:rsidRPr="00531BD3">
        <w:rPr>
          <w:rtl/>
        </w:rPr>
        <w:t xml:space="preserve"> </w:t>
      </w:r>
      <w:r w:rsidRPr="00531BD3">
        <w:rPr>
          <w:rFonts w:hint="eastAsia"/>
          <w:rtl/>
        </w:rPr>
        <w:t>לבוא</w:t>
      </w:r>
      <w:r w:rsidRPr="00531BD3">
        <w:rPr>
          <w:rtl/>
        </w:rPr>
        <w:t xml:space="preserve"> </w:t>
      </w:r>
      <w:r w:rsidRPr="00531BD3">
        <w:rPr>
          <w:rFonts w:hint="eastAsia"/>
          <w:rtl/>
        </w:rPr>
        <w:t>לידי</w:t>
      </w:r>
      <w:r w:rsidRPr="00531BD3">
        <w:rPr>
          <w:rtl/>
        </w:rPr>
        <w:t xml:space="preserve"> </w:t>
      </w:r>
      <w:r w:rsidRPr="00531BD3">
        <w:rPr>
          <w:rFonts w:hint="eastAsia"/>
          <w:rtl/>
        </w:rPr>
        <w:t>ביטוי</w:t>
      </w:r>
      <w:r w:rsidRPr="00531BD3">
        <w:rPr>
          <w:rtl/>
        </w:rPr>
        <w:t xml:space="preserve"> </w:t>
      </w:r>
      <w:r w:rsidRPr="00531BD3">
        <w:rPr>
          <w:rFonts w:hint="eastAsia"/>
          <w:rtl/>
        </w:rPr>
        <w:t>במגוון</w:t>
      </w:r>
      <w:r w:rsidRPr="00531BD3">
        <w:rPr>
          <w:rtl/>
        </w:rPr>
        <w:t xml:space="preserve"> </w:t>
      </w:r>
      <w:r w:rsidRPr="00531BD3">
        <w:rPr>
          <w:rFonts w:hint="eastAsia"/>
          <w:rtl/>
        </w:rPr>
        <w:t>אופנים</w:t>
      </w:r>
      <w:r w:rsidRPr="00531BD3">
        <w:rPr>
          <w:rFonts w:hint="cs"/>
          <w:rtl/>
        </w:rPr>
        <w:t xml:space="preserve"> </w:t>
      </w:r>
      <w:r w:rsidRPr="00531BD3">
        <w:rPr>
          <w:rtl/>
        </w:rPr>
        <w:t xml:space="preserve">– </w:t>
      </w:r>
      <w:r w:rsidRPr="00531BD3">
        <w:rPr>
          <w:rFonts w:hint="eastAsia"/>
          <w:rtl/>
        </w:rPr>
        <w:t>תיעול</w:t>
      </w:r>
      <w:r w:rsidRPr="00531BD3">
        <w:rPr>
          <w:rtl/>
        </w:rPr>
        <w:t xml:space="preserve"> </w:t>
      </w:r>
      <w:r w:rsidRPr="00531BD3">
        <w:rPr>
          <w:rFonts w:hint="eastAsia"/>
          <w:rtl/>
        </w:rPr>
        <w:t>רווחי</w:t>
      </w:r>
      <w:r w:rsidRPr="00531BD3">
        <w:rPr>
          <w:rtl/>
        </w:rPr>
        <w:t xml:space="preserve"> </w:t>
      </w:r>
      <w:r w:rsidRPr="00531BD3">
        <w:rPr>
          <w:rFonts w:hint="eastAsia"/>
          <w:rtl/>
        </w:rPr>
        <w:t>החברה</w:t>
      </w:r>
      <w:r w:rsidRPr="00531BD3">
        <w:rPr>
          <w:rtl/>
        </w:rPr>
        <w:t xml:space="preserve"> </w:t>
      </w:r>
      <w:r w:rsidRPr="00531BD3">
        <w:rPr>
          <w:rFonts w:hint="eastAsia"/>
          <w:rtl/>
        </w:rPr>
        <w:t>על</w:t>
      </w:r>
      <w:r w:rsidRPr="00531BD3">
        <w:rPr>
          <w:rtl/>
        </w:rPr>
        <w:t xml:space="preserve"> </w:t>
      </w:r>
      <w:r w:rsidRPr="00531BD3">
        <w:rPr>
          <w:rFonts w:hint="eastAsia"/>
          <w:rtl/>
        </w:rPr>
        <w:t>ידי</w:t>
      </w:r>
      <w:r w:rsidRPr="00531BD3">
        <w:rPr>
          <w:rtl/>
        </w:rPr>
        <w:t xml:space="preserve"> </w:t>
      </w:r>
      <w:r w:rsidRPr="00531BD3">
        <w:rPr>
          <w:rFonts w:hint="eastAsia"/>
          <w:rtl/>
        </w:rPr>
        <w:t>בעל</w:t>
      </w:r>
      <w:r w:rsidRPr="00531BD3">
        <w:rPr>
          <w:rtl/>
        </w:rPr>
        <w:t xml:space="preserve"> </w:t>
      </w:r>
      <w:r w:rsidRPr="00531BD3">
        <w:rPr>
          <w:rFonts w:hint="eastAsia"/>
          <w:rtl/>
        </w:rPr>
        <w:t>השליטה</w:t>
      </w:r>
      <w:r w:rsidRPr="00531BD3">
        <w:rPr>
          <w:rtl/>
        </w:rPr>
        <w:t xml:space="preserve">, </w:t>
      </w:r>
      <w:r w:rsidRPr="00531BD3">
        <w:rPr>
          <w:rFonts w:hint="eastAsia"/>
          <w:rtl/>
        </w:rPr>
        <w:t>ביצוע</w:t>
      </w:r>
      <w:r w:rsidRPr="00531BD3">
        <w:rPr>
          <w:rtl/>
        </w:rPr>
        <w:t xml:space="preserve"> </w:t>
      </w:r>
      <w:r w:rsidRPr="00531BD3">
        <w:rPr>
          <w:rFonts w:hint="eastAsia"/>
          <w:rtl/>
        </w:rPr>
        <w:t>השקעות</w:t>
      </w:r>
      <w:r w:rsidRPr="00531BD3">
        <w:rPr>
          <w:rtl/>
        </w:rPr>
        <w:t xml:space="preserve"> </w:t>
      </w:r>
      <w:r w:rsidRPr="00531BD3">
        <w:rPr>
          <w:rFonts w:hint="eastAsia"/>
          <w:rtl/>
        </w:rPr>
        <w:t>בלתי</w:t>
      </w:r>
      <w:r w:rsidRPr="00531BD3">
        <w:rPr>
          <w:rtl/>
        </w:rPr>
        <w:t xml:space="preserve"> </w:t>
      </w:r>
      <w:r w:rsidRPr="00531BD3">
        <w:rPr>
          <w:rFonts w:hint="eastAsia"/>
          <w:rtl/>
        </w:rPr>
        <w:t>יעילות</w:t>
      </w:r>
      <w:r w:rsidRPr="00531BD3">
        <w:rPr>
          <w:rtl/>
        </w:rPr>
        <w:t xml:space="preserve">, </w:t>
      </w:r>
      <w:r w:rsidRPr="00531BD3">
        <w:rPr>
          <w:rFonts w:hint="eastAsia"/>
          <w:rtl/>
        </w:rPr>
        <w:t>יצירת</w:t>
      </w:r>
      <w:r w:rsidRPr="00531BD3">
        <w:rPr>
          <w:rtl/>
        </w:rPr>
        <w:t xml:space="preserve"> </w:t>
      </w:r>
      <w:r w:rsidRPr="00531BD3">
        <w:rPr>
          <w:rFonts w:hint="eastAsia"/>
          <w:rtl/>
        </w:rPr>
        <w:t>סיכון</w:t>
      </w:r>
      <w:r w:rsidRPr="00531BD3">
        <w:rPr>
          <w:rtl/>
        </w:rPr>
        <w:t xml:space="preserve"> </w:t>
      </w:r>
      <w:r w:rsidRPr="00531BD3">
        <w:rPr>
          <w:rFonts w:hint="eastAsia"/>
          <w:rtl/>
        </w:rPr>
        <w:t>עודף</w:t>
      </w:r>
      <w:r w:rsidRPr="00531BD3">
        <w:rPr>
          <w:rtl/>
        </w:rPr>
        <w:t xml:space="preserve">, </w:t>
      </w:r>
      <w:r w:rsidRPr="00531BD3">
        <w:rPr>
          <w:rFonts w:hint="eastAsia"/>
          <w:rtl/>
        </w:rPr>
        <w:t>ניהול</w:t>
      </w:r>
      <w:r w:rsidRPr="00531BD3">
        <w:rPr>
          <w:rtl/>
        </w:rPr>
        <w:t xml:space="preserve"> </w:t>
      </w:r>
      <w:r w:rsidRPr="00531BD3">
        <w:rPr>
          <w:rFonts w:hint="eastAsia"/>
          <w:rtl/>
        </w:rPr>
        <w:t>בלתי</w:t>
      </w:r>
      <w:r w:rsidRPr="00531BD3">
        <w:rPr>
          <w:rtl/>
        </w:rPr>
        <w:t xml:space="preserve"> </w:t>
      </w:r>
      <w:r w:rsidRPr="00531BD3">
        <w:rPr>
          <w:rFonts w:hint="eastAsia"/>
          <w:rtl/>
        </w:rPr>
        <w:t>יעיל</w:t>
      </w:r>
      <w:r w:rsidRPr="00531BD3">
        <w:rPr>
          <w:rtl/>
        </w:rPr>
        <w:t xml:space="preserve"> </w:t>
      </w:r>
      <w:r w:rsidRPr="00531BD3">
        <w:rPr>
          <w:rFonts w:hint="eastAsia"/>
          <w:rtl/>
        </w:rPr>
        <w:t>ועוד</w:t>
      </w:r>
      <w:r w:rsidRPr="00531BD3">
        <w:rPr>
          <w:rtl/>
        </w:rPr>
        <w:t xml:space="preserve">. </w:t>
      </w:r>
      <w:r w:rsidRPr="00531BD3">
        <w:rPr>
          <w:rFonts w:hint="eastAsia"/>
          <w:rtl/>
        </w:rPr>
        <w:t>תופעות</w:t>
      </w:r>
      <w:r w:rsidRPr="00531BD3">
        <w:rPr>
          <w:rtl/>
        </w:rPr>
        <w:t xml:space="preserve"> </w:t>
      </w:r>
      <w:r w:rsidRPr="00531BD3">
        <w:rPr>
          <w:rFonts w:hint="eastAsia"/>
          <w:rtl/>
        </w:rPr>
        <w:t>אלו</w:t>
      </w:r>
      <w:r w:rsidRPr="00531BD3">
        <w:rPr>
          <w:rtl/>
        </w:rPr>
        <w:t xml:space="preserve"> </w:t>
      </w:r>
      <w:r w:rsidRPr="00531BD3">
        <w:rPr>
          <w:rFonts w:hint="eastAsia"/>
          <w:rtl/>
        </w:rPr>
        <w:t>גורמות</w:t>
      </w:r>
      <w:r w:rsidRPr="00531BD3">
        <w:rPr>
          <w:rtl/>
        </w:rPr>
        <w:t xml:space="preserve"> </w:t>
      </w:r>
      <w:r w:rsidRPr="00531BD3">
        <w:rPr>
          <w:rFonts w:hint="eastAsia"/>
          <w:rtl/>
        </w:rPr>
        <w:t>לנזקים</w:t>
      </w:r>
      <w:r w:rsidRPr="00531BD3">
        <w:rPr>
          <w:rtl/>
        </w:rPr>
        <w:t xml:space="preserve"> </w:t>
      </w:r>
      <w:r w:rsidRPr="00531BD3">
        <w:rPr>
          <w:rFonts w:hint="eastAsia"/>
          <w:rtl/>
        </w:rPr>
        <w:t>גם</w:t>
      </w:r>
      <w:r w:rsidRPr="00531BD3">
        <w:rPr>
          <w:rtl/>
        </w:rPr>
        <w:t xml:space="preserve"> </w:t>
      </w:r>
      <w:r w:rsidRPr="00531BD3">
        <w:rPr>
          <w:rFonts w:hint="eastAsia"/>
          <w:rtl/>
        </w:rPr>
        <w:t>ברמת</w:t>
      </w:r>
      <w:r w:rsidRPr="00531BD3">
        <w:rPr>
          <w:rtl/>
        </w:rPr>
        <w:t xml:space="preserve"> </w:t>
      </w:r>
      <w:r w:rsidRPr="00531BD3">
        <w:rPr>
          <w:rFonts w:hint="eastAsia"/>
          <w:rtl/>
        </w:rPr>
        <w:t>המשקיע</w:t>
      </w:r>
      <w:r w:rsidRPr="00531BD3">
        <w:rPr>
          <w:rtl/>
        </w:rPr>
        <w:t xml:space="preserve"> </w:t>
      </w:r>
      <w:r w:rsidRPr="00531BD3">
        <w:rPr>
          <w:rFonts w:hint="eastAsia"/>
          <w:rtl/>
        </w:rPr>
        <w:t>הבודד</w:t>
      </w:r>
      <w:r w:rsidRPr="00531BD3">
        <w:rPr>
          <w:rtl/>
        </w:rPr>
        <w:t xml:space="preserve"> </w:t>
      </w:r>
      <w:r w:rsidRPr="00531BD3">
        <w:rPr>
          <w:rFonts w:hint="eastAsia"/>
          <w:rtl/>
        </w:rPr>
        <w:t>וגם</w:t>
      </w:r>
      <w:r w:rsidRPr="00531BD3">
        <w:rPr>
          <w:rtl/>
        </w:rPr>
        <w:t xml:space="preserve"> </w:t>
      </w:r>
      <w:r w:rsidRPr="00531BD3">
        <w:rPr>
          <w:rFonts w:hint="eastAsia"/>
          <w:rtl/>
        </w:rPr>
        <w:t>ברמת</w:t>
      </w:r>
      <w:r w:rsidRPr="00531BD3">
        <w:rPr>
          <w:rtl/>
        </w:rPr>
        <w:t xml:space="preserve"> </w:t>
      </w:r>
      <w:r w:rsidRPr="00531BD3">
        <w:rPr>
          <w:rFonts w:hint="eastAsia"/>
          <w:rtl/>
        </w:rPr>
        <w:t>המשק</w:t>
      </w:r>
      <w:r w:rsidRPr="00531BD3">
        <w:rPr>
          <w:rtl/>
        </w:rPr>
        <w:t xml:space="preserve"> </w:t>
      </w:r>
      <w:r w:rsidRPr="00531BD3">
        <w:rPr>
          <w:rFonts w:hint="eastAsia"/>
          <w:rtl/>
        </w:rPr>
        <w:t>כולו</w:t>
      </w:r>
      <w:r w:rsidRPr="00531BD3">
        <w:rPr>
          <w:rtl/>
        </w:rPr>
        <w:t>" (</w:t>
      </w:r>
      <w:r w:rsidRPr="00531BD3">
        <w:rPr>
          <w:rFonts w:hint="cs"/>
          <w:rtl/>
        </w:rPr>
        <w:t>טיוטת המלצות הוועדה להגברת התחרותיות במשק (דוח ביניים), עמ' 71).</w:t>
      </w:r>
    </w:p>
    <w:p w:rsidR="008A4DD4" w:rsidRPr="00531BD3" w:rsidRDefault="008A4DD4" w:rsidP="008A4DD4">
      <w:pPr>
        <w:pStyle w:val="Ruller41"/>
      </w:pPr>
    </w:p>
    <w:p w:rsidR="008A4DD4" w:rsidRPr="00531BD3" w:rsidRDefault="008A4DD4" w:rsidP="008A4DD4">
      <w:pPr>
        <w:pStyle w:val="Ruller4"/>
      </w:pPr>
      <w:r w:rsidRPr="00531BD3">
        <w:rPr>
          <w:rFonts w:hint="cs"/>
          <w:rtl/>
        </w:rPr>
        <w:t xml:space="preserve">על רקע הבעייתיות הגלומה בעסקה עם בעל השליטה (או כאשר לבעל השליטה יש בה עניין אישי) אשר טמון בה כאמור מטבע הדברים ניגוד עניינים משמעותי ביותר, מצב אשר תואר במהלך הליך החקיקה כמצב שבו "בעל השליטה עושה עסק עם עצמו" (דיון בוועדת הכספים מיום 22.5.2013, עמ' 12), הוחלט להחמיר את ההוראה שבהצעת החוק באופן שבו תיקבע </w:t>
      </w:r>
      <w:r w:rsidRPr="00531BD3">
        <w:rPr>
          <w:rFonts w:ascii="Century" w:hAnsi="Century" w:cs="Miriam" w:hint="cs"/>
          <w:b/>
          <w:spacing w:val="0"/>
          <w:sz w:val="22"/>
          <w:szCs w:val="24"/>
          <w:rtl/>
        </w:rPr>
        <w:t>חובה</w:t>
      </w:r>
      <w:r w:rsidRPr="00531BD3">
        <w:rPr>
          <w:rFonts w:hint="cs"/>
          <w:rtl/>
        </w:rPr>
        <w:t xml:space="preserve"> לגבי כל עסקה עם בעל שליטה לנהל הליך התחרותי או "הליכים אחרים שתקבע ועדת הביקורת". בבסיס הצורך בקיום הליך "תחרותי" עומד אפוא החשש מניצול כוח השליטה של בעל השליטה תוך פגיעה בהשאת הערך של כלל בעלי המניות (</w:t>
      </w:r>
      <w:r w:rsidRPr="00531BD3">
        <w:rPr>
          <w:rFonts w:ascii="Century" w:hAnsi="Century" w:cs="Miriam" w:hint="cs"/>
          <w:b/>
          <w:spacing w:val="0"/>
          <w:sz w:val="22"/>
          <w:szCs w:val="24"/>
          <w:rtl/>
        </w:rPr>
        <w:t>אגמון גונן</w:t>
      </w:r>
      <w:r w:rsidRPr="00531BD3">
        <w:rPr>
          <w:rFonts w:hint="cs"/>
          <w:rtl/>
        </w:rPr>
        <w:t>, עמ' 56). ההנחה היא כי קיום הליך תחרותי (או מנגנון אחר דומה) אשר ישקף תחרות הוגנת וידמה ככל הניתן הליכי משא ומתן בתנאי שוק בין צדדים בלתי תלויים, יגדיל את הסי</w:t>
      </w:r>
      <w:r w:rsidR="006276BF">
        <w:rPr>
          <w:rFonts w:hint="cs"/>
          <w:rtl/>
        </w:rPr>
        <w:t>כוי כי ההצעה שתיבחר תהיה בעלת מ</w:t>
      </w:r>
      <w:r w:rsidRPr="00531BD3">
        <w:rPr>
          <w:rFonts w:hint="cs"/>
          <w:rtl/>
        </w:rPr>
        <w:t>רב היתרונות עבור החברה ובעלי המניות תוך נטרול ניגוד העניינים שבו נתון בעל השליטה. על רקע האמור, לא בכדי הובעה בספרות העמדה כי בהוספת סעיף 117(1ב) לחוק יש משום "רמז" לכך ששימוש בוועדה מיוחדת (בלתי תלויה) בעסקה עם בעל שליטה, אשר תביא לניהול משא ומתן באופן המדמה עסקה בתנאי שוק, הינה רצויה במקרים המתאימים (</w:t>
      </w:r>
      <w:r w:rsidRPr="00531BD3">
        <w:rPr>
          <w:rFonts w:ascii="Century" w:hAnsi="Century" w:cs="Miriam" w:hint="cs"/>
          <w:b/>
          <w:spacing w:val="0"/>
          <w:sz w:val="22"/>
          <w:szCs w:val="24"/>
          <w:rtl/>
        </w:rPr>
        <w:t xml:space="preserve">חמדני </w:t>
      </w:r>
      <w:proofErr w:type="spellStart"/>
      <w:r w:rsidRPr="00531BD3">
        <w:rPr>
          <w:rFonts w:ascii="Century" w:hAnsi="Century" w:cs="Miriam" w:hint="cs"/>
          <w:b/>
          <w:spacing w:val="0"/>
          <w:sz w:val="22"/>
          <w:szCs w:val="24"/>
          <w:rtl/>
        </w:rPr>
        <w:t>וחנס</w:t>
      </w:r>
      <w:proofErr w:type="spellEnd"/>
      <w:r w:rsidRPr="00531BD3">
        <w:rPr>
          <w:rFonts w:hint="cs"/>
          <w:rtl/>
        </w:rPr>
        <w:t xml:space="preserve">, עמ' 772; ראו גם אזכור מוסד זה במסגרת הליך החקיקה: דיון בוועדת הכספים מיום 22.5.2013, עמ' 25). </w:t>
      </w:r>
    </w:p>
    <w:p w:rsidR="008A4DD4" w:rsidRPr="00531BD3" w:rsidRDefault="008A4DD4" w:rsidP="008A4DD4">
      <w:pPr>
        <w:pStyle w:val="Ruller41"/>
        <w:rPr>
          <w:rtl/>
        </w:rPr>
      </w:pPr>
    </w:p>
    <w:p w:rsidR="008A4DD4" w:rsidRPr="00531BD3" w:rsidRDefault="008A4DD4" w:rsidP="008A4DD4">
      <w:pPr>
        <w:pStyle w:val="Ruller41"/>
      </w:pPr>
      <w:r w:rsidRPr="00531BD3">
        <w:rPr>
          <w:rtl/>
        </w:rPr>
        <w:tab/>
      </w:r>
      <w:r w:rsidRPr="00531BD3">
        <w:rPr>
          <w:rFonts w:hint="cs"/>
          <w:rtl/>
        </w:rPr>
        <w:t>ומכאן אפוא למוסד הוועדה המיוחדת שמטרתה לתת מענה למצב של ביצוע עסקה של החברה עם בעל השליטה בה.</w:t>
      </w:r>
    </w:p>
    <w:p w:rsidR="008A4DD4" w:rsidRPr="00531BD3" w:rsidRDefault="008A4DD4" w:rsidP="008A4DD4">
      <w:pPr>
        <w:pStyle w:val="Ruller4"/>
        <w:numPr>
          <w:ilvl w:val="0"/>
          <w:numId w:val="0"/>
        </w:numPr>
        <w:rPr>
          <w:rtl/>
        </w:rPr>
      </w:pPr>
    </w:p>
    <w:p w:rsidR="008A4DD4" w:rsidRPr="00531BD3" w:rsidRDefault="008A4DD4" w:rsidP="008A4DD4">
      <w:pPr>
        <w:pStyle w:val="Ruller41"/>
        <w:rPr>
          <w:rFonts w:ascii="Century" w:hAnsi="Century" w:cs="Miriam"/>
          <w:b/>
          <w:spacing w:val="0"/>
          <w:szCs w:val="24"/>
        </w:rPr>
      </w:pPr>
      <w:r w:rsidRPr="00531BD3">
        <w:rPr>
          <w:rFonts w:ascii="Century" w:hAnsi="Century" w:cs="Miriam" w:hint="cs"/>
          <w:b/>
          <w:spacing w:val="0"/>
          <w:szCs w:val="24"/>
          <w:rtl/>
        </w:rPr>
        <w:t>ועדה מיוחדת (בלתי תלויה)</w:t>
      </w:r>
    </w:p>
    <w:p w:rsidR="008A4DD4" w:rsidRPr="00531BD3" w:rsidRDefault="008A4DD4" w:rsidP="008A4DD4">
      <w:pPr>
        <w:pStyle w:val="Ruller4"/>
      </w:pPr>
      <w:r w:rsidRPr="00531BD3">
        <w:rPr>
          <w:rFonts w:hint="cs"/>
          <w:rtl/>
        </w:rPr>
        <w:lastRenderedPageBreak/>
        <w:t xml:space="preserve">עוד קודם לתיקון מס' 22 לחוק החברות, בפסק הדין בעניין </w:t>
      </w:r>
      <w:r w:rsidRPr="00531BD3">
        <w:rPr>
          <w:rFonts w:cs="Miriam" w:hint="cs"/>
          <w:b/>
          <w:spacing w:val="0"/>
          <w:szCs w:val="24"/>
          <w:rtl/>
        </w:rPr>
        <w:t xml:space="preserve">מכתשים אגן </w:t>
      </w:r>
      <w:r w:rsidRPr="00531BD3">
        <w:rPr>
          <w:rFonts w:hint="cs"/>
          <w:rtl/>
        </w:rPr>
        <w:t xml:space="preserve">שניתן במחלקה הכלכלית בבית המשפט המחוזי בתל אביב-יפו, עמד בית המשפט על הקושי הטמון בהליכי אישור עסקאות עם בעל השליטה. זאת מפני שהאסיפה הכללית אינה יכולה מעצם טיבה כ"גוף פסיבי" לנהל משא ומתן אפקטיבי על תנאי העסקה, להציע חלופות או להתנות את אישור העסקה בתנאים. במובן זה, הצעה המובאת לאישור האסיפה הכללית מהווה מעין "אולטימטום" הואיל וניתן רק להצביע בעדה או נגדה (שם, פסקה 4ה; וכן ראו: </w:t>
      </w:r>
      <w:r w:rsidRPr="00531BD3">
        <w:rPr>
          <w:rFonts w:hint="eastAsia"/>
          <w:rtl/>
        </w:rPr>
        <w:t>אסף</w:t>
      </w:r>
      <w:r w:rsidRPr="00531BD3">
        <w:rPr>
          <w:rtl/>
        </w:rPr>
        <w:t xml:space="preserve"> </w:t>
      </w:r>
      <w:r w:rsidRPr="00531BD3">
        <w:rPr>
          <w:rFonts w:hint="eastAsia"/>
          <w:rtl/>
        </w:rPr>
        <w:t>חמדני</w:t>
      </w:r>
      <w:r w:rsidRPr="00531BD3">
        <w:rPr>
          <w:rtl/>
        </w:rPr>
        <w:t xml:space="preserve"> </w:t>
      </w:r>
      <w:r w:rsidRPr="00531BD3">
        <w:rPr>
          <w:rFonts w:hint="eastAsia"/>
          <w:rtl/>
        </w:rPr>
        <w:t>ושרון</w:t>
      </w:r>
      <w:r w:rsidRPr="00531BD3">
        <w:rPr>
          <w:rtl/>
        </w:rPr>
        <w:t xml:space="preserve"> </w:t>
      </w:r>
      <w:proofErr w:type="spellStart"/>
      <w:r w:rsidRPr="00531BD3">
        <w:rPr>
          <w:rFonts w:hint="eastAsia"/>
          <w:rtl/>
        </w:rPr>
        <w:t>חנס</w:t>
      </w:r>
      <w:proofErr w:type="spellEnd"/>
      <w:r w:rsidRPr="00531BD3">
        <w:rPr>
          <w:rtl/>
        </w:rPr>
        <w:t xml:space="preserve"> "</w:t>
      </w:r>
      <w:r w:rsidRPr="00531BD3">
        <w:rPr>
          <w:rFonts w:hint="eastAsia"/>
          <w:rtl/>
        </w:rPr>
        <w:t>הגינות</w:t>
      </w:r>
      <w:r w:rsidRPr="00531BD3">
        <w:rPr>
          <w:rtl/>
        </w:rPr>
        <w:t xml:space="preserve"> </w:t>
      </w:r>
      <w:r w:rsidRPr="00531BD3">
        <w:rPr>
          <w:rFonts w:hint="eastAsia"/>
          <w:rtl/>
        </w:rPr>
        <w:t>מלאה</w:t>
      </w:r>
      <w:r w:rsidRPr="00531BD3">
        <w:rPr>
          <w:rtl/>
        </w:rPr>
        <w:t xml:space="preserve">? </w:t>
      </w:r>
      <w:r w:rsidRPr="00531BD3">
        <w:rPr>
          <w:rFonts w:hint="eastAsia"/>
          <w:rtl/>
        </w:rPr>
        <w:t>בעלי</w:t>
      </w:r>
      <w:r w:rsidRPr="00531BD3">
        <w:rPr>
          <w:rtl/>
        </w:rPr>
        <w:t xml:space="preserve"> </w:t>
      </w:r>
      <w:r w:rsidRPr="00531BD3">
        <w:rPr>
          <w:rFonts w:hint="eastAsia"/>
          <w:rtl/>
        </w:rPr>
        <w:t>שליטה</w:t>
      </w:r>
      <w:r w:rsidRPr="00531BD3">
        <w:rPr>
          <w:rtl/>
        </w:rPr>
        <w:t xml:space="preserve">, </w:t>
      </w:r>
      <w:r w:rsidRPr="00531BD3">
        <w:rPr>
          <w:rFonts w:hint="eastAsia"/>
          <w:rtl/>
        </w:rPr>
        <w:t>חובות</w:t>
      </w:r>
      <w:r w:rsidRPr="00531BD3">
        <w:rPr>
          <w:rtl/>
        </w:rPr>
        <w:t xml:space="preserve"> </w:t>
      </w:r>
      <w:r w:rsidRPr="00531BD3">
        <w:rPr>
          <w:rFonts w:hint="eastAsia"/>
          <w:rtl/>
        </w:rPr>
        <w:t>הדירקטוריון</w:t>
      </w:r>
      <w:r w:rsidRPr="00531BD3">
        <w:rPr>
          <w:rtl/>
        </w:rPr>
        <w:t xml:space="preserve"> </w:t>
      </w:r>
      <w:r w:rsidRPr="00531BD3">
        <w:rPr>
          <w:rFonts w:hint="eastAsia"/>
          <w:rtl/>
        </w:rPr>
        <w:t>וביקורת</w:t>
      </w:r>
      <w:r w:rsidRPr="00531BD3">
        <w:rPr>
          <w:rtl/>
        </w:rPr>
        <w:t xml:space="preserve"> </w:t>
      </w:r>
      <w:r w:rsidRPr="00531BD3">
        <w:rPr>
          <w:rFonts w:hint="eastAsia"/>
          <w:rtl/>
        </w:rPr>
        <w:t>שיפוטית</w:t>
      </w:r>
      <w:r w:rsidRPr="00531BD3">
        <w:rPr>
          <w:rtl/>
        </w:rPr>
        <w:t xml:space="preserve">" </w:t>
      </w:r>
      <w:r w:rsidRPr="00531BD3">
        <w:rPr>
          <w:rFonts w:ascii="Century" w:hAnsi="Century" w:cs="Miriam" w:hint="eastAsia"/>
          <w:b/>
          <w:spacing w:val="0"/>
          <w:sz w:val="22"/>
          <w:szCs w:val="24"/>
          <w:rtl/>
        </w:rPr>
        <w:t>משפט</w:t>
      </w:r>
      <w:r w:rsidRPr="00531BD3">
        <w:rPr>
          <w:rFonts w:ascii="Century" w:hAnsi="Century" w:cs="Miriam"/>
          <w:b/>
          <w:spacing w:val="0"/>
          <w:sz w:val="22"/>
          <w:szCs w:val="24"/>
          <w:rtl/>
        </w:rPr>
        <w:t xml:space="preserve"> </w:t>
      </w:r>
      <w:r w:rsidRPr="00531BD3">
        <w:rPr>
          <w:rFonts w:ascii="Century" w:hAnsi="Century" w:cs="Miriam" w:hint="eastAsia"/>
          <w:b/>
          <w:spacing w:val="0"/>
          <w:sz w:val="22"/>
          <w:szCs w:val="24"/>
          <w:rtl/>
        </w:rPr>
        <w:t>ועסקים</w:t>
      </w:r>
      <w:r w:rsidRPr="00531BD3">
        <w:rPr>
          <w:rtl/>
        </w:rPr>
        <w:t xml:space="preserve"> </w:t>
      </w:r>
      <w:r w:rsidRPr="00531BD3">
        <w:rPr>
          <w:rFonts w:hint="eastAsia"/>
          <w:rtl/>
        </w:rPr>
        <w:t>ט</w:t>
      </w:r>
      <w:r w:rsidRPr="00531BD3">
        <w:rPr>
          <w:rtl/>
        </w:rPr>
        <w:t xml:space="preserve"> 75, </w:t>
      </w:r>
      <w:r w:rsidRPr="00531BD3">
        <w:rPr>
          <w:rFonts w:hint="cs"/>
          <w:rtl/>
        </w:rPr>
        <w:t>89-87</w:t>
      </w:r>
      <w:r w:rsidRPr="00531BD3">
        <w:rPr>
          <w:rtl/>
        </w:rPr>
        <w:t xml:space="preserve"> (2008</w:t>
      </w:r>
      <w:r w:rsidRPr="00531BD3">
        <w:rPr>
          <w:rFonts w:hint="cs"/>
          <w:rtl/>
        </w:rPr>
        <w:t>)).</w:t>
      </w:r>
      <w:r w:rsidRPr="00531BD3">
        <w:t xml:space="preserve"> </w:t>
      </w:r>
      <w:r w:rsidRPr="00531BD3">
        <w:rPr>
          <w:rFonts w:hint="cs"/>
          <w:rtl/>
        </w:rPr>
        <w:t>על רקע זה, לגבי עסקאות שבהן בעל השליטה מצוי משני צדי המתרס של העסקה (באותו עניין, במקרה של עסקת מיזוג), הצביע בית המשפט על כך שראוי לעשות שימוש במוסד הוועדה המיוחדת שתנהל משא ומתן "</w:t>
      </w:r>
      <w:proofErr w:type="spellStart"/>
      <w:r w:rsidRPr="00531BD3">
        <w:rPr>
          <w:rFonts w:hint="cs"/>
          <w:rtl/>
        </w:rPr>
        <w:t>אמיתי</w:t>
      </w:r>
      <w:proofErr w:type="spellEnd"/>
      <w:r w:rsidRPr="00531BD3">
        <w:rPr>
          <w:rFonts w:hint="cs"/>
          <w:rtl/>
        </w:rPr>
        <w:t>" באופן המדמה כ</w:t>
      </w:r>
      <w:r w:rsidRPr="00531BD3">
        <w:rPr>
          <w:rFonts w:ascii="Century" w:hAnsi="Century" w:hint="eastAsia"/>
          <w:sz w:val="22"/>
          <w:rtl/>
        </w:rPr>
        <w:t>כל</w:t>
      </w:r>
      <w:r w:rsidRPr="00531BD3">
        <w:rPr>
          <w:rFonts w:ascii="Century" w:hAnsi="Century"/>
          <w:sz w:val="22"/>
          <w:rtl/>
        </w:rPr>
        <w:t xml:space="preserve"> </w:t>
      </w:r>
      <w:r w:rsidRPr="00531BD3">
        <w:rPr>
          <w:rFonts w:ascii="Century" w:hAnsi="Century" w:hint="eastAsia"/>
          <w:sz w:val="22"/>
          <w:rtl/>
        </w:rPr>
        <w:t>הניתן</w:t>
      </w:r>
      <w:r w:rsidRPr="00531BD3">
        <w:rPr>
          <w:rFonts w:ascii="Century" w:hAnsi="Century"/>
          <w:sz w:val="22"/>
          <w:rtl/>
        </w:rPr>
        <w:t xml:space="preserve"> </w:t>
      </w:r>
      <w:r w:rsidRPr="00531BD3">
        <w:rPr>
          <w:rFonts w:ascii="Century" w:hAnsi="Century" w:hint="eastAsia"/>
          <w:sz w:val="22"/>
          <w:rtl/>
        </w:rPr>
        <w:t>עסקה</w:t>
      </w:r>
      <w:r w:rsidRPr="00531BD3">
        <w:rPr>
          <w:rFonts w:ascii="Century" w:hAnsi="Century"/>
          <w:sz w:val="22"/>
          <w:rtl/>
        </w:rPr>
        <w:t xml:space="preserve"> </w:t>
      </w:r>
      <w:r w:rsidRPr="00531BD3">
        <w:rPr>
          <w:rFonts w:ascii="Century" w:hAnsi="Century" w:hint="eastAsia"/>
          <w:sz w:val="22"/>
          <w:rtl/>
        </w:rPr>
        <w:t>בתנאי</w:t>
      </w:r>
      <w:r w:rsidRPr="00531BD3">
        <w:rPr>
          <w:rFonts w:ascii="Century" w:hAnsi="Century"/>
          <w:sz w:val="22"/>
          <w:rtl/>
        </w:rPr>
        <w:t xml:space="preserve"> </w:t>
      </w:r>
      <w:r w:rsidRPr="00531BD3">
        <w:rPr>
          <w:rFonts w:ascii="Century" w:hAnsi="Century" w:hint="eastAsia"/>
          <w:sz w:val="22"/>
          <w:rtl/>
        </w:rPr>
        <w:t>שוק</w:t>
      </w:r>
      <w:r w:rsidRPr="00531BD3">
        <w:rPr>
          <w:rFonts w:ascii="Century" w:hAnsi="Century"/>
          <w:sz w:val="22"/>
          <w:rtl/>
        </w:rPr>
        <w:t xml:space="preserve">. </w:t>
      </w:r>
      <w:r w:rsidRPr="00531BD3">
        <w:rPr>
          <w:rFonts w:ascii="Century" w:hAnsi="Century" w:hint="eastAsia"/>
          <w:sz w:val="22"/>
          <w:rtl/>
        </w:rPr>
        <w:t>ועדה</w:t>
      </w:r>
      <w:r w:rsidRPr="00531BD3">
        <w:rPr>
          <w:rFonts w:ascii="Century" w:hAnsi="Century"/>
          <w:sz w:val="22"/>
          <w:rtl/>
        </w:rPr>
        <w:t xml:space="preserve"> </w:t>
      </w:r>
      <w:r w:rsidRPr="00531BD3">
        <w:rPr>
          <w:rFonts w:ascii="Century" w:hAnsi="Century" w:hint="eastAsia"/>
          <w:sz w:val="22"/>
          <w:rtl/>
        </w:rPr>
        <w:t>כזו</w:t>
      </w:r>
      <w:r w:rsidRPr="00531BD3">
        <w:rPr>
          <w:rFonts w:ascii="Century" w:hAnsi="Century"/>
          <w:sz w:val="22"/>
          <w:rtl/>
        </w:rPr>
        <w:t xml:space="preserve"> </w:t>
      </w:r>
      <w:r w:rsidRPr="00531BD3">
        <w:rPr>
          <w:rFonts w:ascii="Century" w:hAnsi="Century" w:hint="eastAsia"/>
          <w:sz w:val="22"/>
          <w:rtl/>
        </w:rPr>
        <w:t>צריכה</w:t>
      </w:r>
      <w:r w:rsidRPr="00531BD3">
        <w:rPr>
          <w:rFonts w:ascii="Century" w:hAnsi="Century"/>
          <w:sz w:val="22"/>
          <w:rtl/>
        </w:rPr>
        <w:t xml:space="preserve"> </w:t>
      </w:r>
      <w:r w:rsidRPr="00531BD3">
        <w:rPr>
          <w:rFonts w:ascii="Century" w:hAnsi="Century" w:hint="eastAsia"/>
          <w:sz w:val="22"/>
          <w:rtl/>
        </w:rPr>
        <w:t>להיות</w:t>
      </w:r>
      <w:r w:rsidRPr="00531BD3">
        <w:rPr>
          <w:rFonts w:ascii="Century" w:hAnsi="Century"/>
          <w:sz w:val="22"/>
          <w:rtl/>
        </w:rPr>
        <w:t xml:space="preserve"> </w:t>
      </w:r>
      <w:r w:rsidRPr="00531BD3">
        <w:rPr>
          <w:rFonts w:ascii="Century" w:hAnsi="Century" w:hint="eastAsia"/>
          <w:sz w:val="22"/>
          <w:rtl/>
        </w:rPr>
        <w:t>מוסמכת</w:t>
      </w:r>
      <w:r w:rsidRPr="00531BD3">
        <w:rPr>
          <w:rFonts w:ascii="Century" w:hAnsi="Century"/>
          <w:sz w:val="22"/>
          <w:rtl/>
        </w:rPr>
        <w:t xml:space="preserve"> </w:t>
      </w:r>
      <w:r w:rsidRPr="00531BD3">
        <w:rPr>
          <w:rFonts w:ascii="Century" w:hAnsi="Century" w:hint="eastAsia"/>
          <w:sz w:val="22"/>
          <w:rtl/>
        </w:rPr>
        <w:t>באופן</w:t>
      </w:r>
      <w:r w:rsidRPr="00531BD3">
        <w:rPr>
          <w:rFonts w:ascii="Century" w:hAnsi="Century"/>
          <w:sz w:val="22"/>
          <w:rtl/>
        </w:rPr>
        <w:t xml:space="preserve"> </w:t>
      </w:r>
      <w:r w:rsidRPr="00531BD3">
        <w:rPr>
          <w:rFonts w:ascii="Century" w:hAnsi="Century" w:hint="eastAsia"/>
          <w:sz w:val="22"/>
          <w:rtl/>
        </w:rPr>
        <w:t>אפקטיבי</w:t>
      </w:r>
      <w:r w:rsidRPr="00531BD3">
        <w:rPr>
          <w:rFonts w:ascii="Century" w:hAnsi="Century"/>
          <w:sz w:val="22"/>
          <w:rtl/>
        </w:rPr>
        <w:t xml:space="preserve"> </w:t>
      </w:r>
      <w:r w:rsidRPr="00531BD3">
        <w:rPr>
          <w:rFonts w:ascii="Century" w:hAnsi="Century" w:hint="eastAsia"/>
          <w:sz w:val="22"/>
          <w:rtl/>
        </w:rPr>
        <w:t>להחליט</w:t>
      </w:r>
      <w:r w:rsidRPr="00531BD3">
        <w:rPr>
          <w:rFonts w:ascii="Century" w:hAnsi="Century"/>
          <w:sz w:val="22"/>
          <w:rtl/>
        </w:rPr>
        <w:t xml:space="preserve"> </w:t>
      </w:r>
      <w:r w:rsidRPr="00531BD3">
        <w:rPr>
          <w:rFonts w:ascii="Century" w:hAnsi="Century" w:hint="eastAsia"/>
          <w:sz w:val="22"/>
          <w:rtl/>
        </w:rPr>
        <w:t>נגד</w:t>
      </w:r>
      <w:r w:rsidRPr="00531BD3">
        <w:rPr>
          <w:rFonts w:ascii="Century" w:hAnsi="Century"/>
          <w:sz w:val="22"/>
          <w:rtl/>
        </w:rPr>
        <w:t xml:space="preserve"> </w:t>
      </w:r>
      <w:r w:rsidRPr="00531BD3">
        <w:rPr>
          <w:rFonts w:ascii="Century" w:hAnsi="Century" w:hint="eastAsia"/>
          <w:sz w:val="22"/>
          <w:rtl/>
        </w:rPr>
        <w:t>ביצוע</w:t>
      </w:r>
      <w:r w:rsidRPr="00531BD3">
        <w:rPr>
          <w:rFonts w:ascii="Century" w:hAnsi="Century"/>
          <w:sz w:val="22"/>
          <w:rtl/>
        </w:rPr>
        <w:t xml:space="preserve"> </w:t>
      </w:r>
      <w:r w:rsidRPr="00531BD3">
        <w:rPr>
          <w:rFonts w:ascii="Century" w:hAnsi="Century" w:hint="eastAsia"/>
          <w:sz w:val="22"/>
          <w:rtl/>
        </w:rPr>
        <w:t>ה</w:t>
      </w:r>
      <w:r w:rsidRPr="00531BD3">
        <w:rPr>
          <w:rFonts w:ascii="Century" w:hAnsi="Century" w:hint="cs"/>
          <w:sz w:val="22"/>
          <w:rtl/>
        </w:rPr>
        <w:t>ע</w:t>
      </w:r>
      <w:r w:rsidRPr="00531BD3">
        <w:rPr>
          <w:rFonts w:ascii="Century" w:hAnsi="Century" w:hint="eastAsia"/>
          <w:sz w:val="22"/>
          <w:rtl/>
        </w:rPr>
        <w:t>סקה</w:t>
      </w:r>
      <w:r w:rsidRPr="00531BD3">
        <w:rPr>
          <w:rFonts w:ascii="Century" w:hAnsi="Century" w:hint="cs"/>
          <w:sz w:val="22"/>
          <w:rtl/>
        </w:rPr>
        <w:t xml:space="preserve"> </w:t>
      </w:r>
      <w:r w:rsidRPr="00531BD3">
        <w:rPr>
          <w:rFonts w:ascii="Century" w:hAnsi="Century" w:hint="eastAsia"/>
          <w:sz w:val="22"/>
          <w:rtl/>
        </w:rPr>
        <w:t>ולמנות</w:t>
      </w:r>
      <w:r w:rsidRPr="00531BD3">
        <w:rPr>
          <w:rFonts w:ascii="Century" w:hAnsi="Century"/>
          <w:sz w:val="22"/>
          <w:rtl/>
        </w:rPr>
        <w:t xml:space="preserve"> </w:t>
      </w:r>
      <w:r w:rsidRPr="00531BD3">
        <w:rPr>
          <w:rFonts w:ascii="Century" w:hAnsi="Century" w:hint="eastAsia"/>
          <w:sz w:val="22"/>
          <w:rtl/>
        </w:rPr>
        <w:t>מומחים</w:t>
      </w:r>
      <w:r w:rsidRPr="00531BD3">
        <w:rPr>
          <w:rFonts w:ascii="Century" w:hAnsi="Century"/>
          <w:sz w:val="22"/>
          <w:rtl/>
        </w:rPr>
        <w:t xml:space="preserve"> </w:t>
      </w:r>
      <w:r w:rsidRPr="00531BD3">
        <w:rPr>
          <w:rFonts w:ascii="Century" w:hAnsi="Century" w:hint="eastAsia"/>
          <w:sz w:val="22"/>
          <w:rtl/>
        </w:rPr>
        <w:t>ויועצים</w:t>
      </w:r>
      <w:r w:rsidRPr="00531BD3">
        <w:rPr>
          <w:rFonts w:ascii="Century" w:hAnsi="Century"/>
          <w:sz w:val="22"/>
          <w:rtl/>
        </w:rPr>
        <w:t xml:space="preserve"> </w:t>
      </w:r>
      <w:r w:rsidRPr="00531BD3">
        <w:rPr>
          <w:rFonts w:ascii="Century" w:hAnsi="Century" w:hint="eastAsia"/>
          <w:sz w:val="22"/>
          <w:rtl/>
        </w:rPr>
        <w:t>שאינם</w:t>
      </w:r>
      <w:r w:rsidRPr="00531BD3">
        <w:rPr>
          <w:rFonts w:ascii="Century" w:hAnsi="Century"/>
          <w:sz w:val="22"/>
          <w:rtl/>
        </w:rPr>
        <w:t xml:space="preserve"> </w:t>
      </w:r>
      <w:r w:rsidRPr="00531BD3">
        <w:rPr>
          <w:rFonts w:ascii="Century" w:hAnsi="Century" w:hint="eastAsia"/>
          <w:sz w:val="22"/>
          <w:rtl/>
        </w:rPr>
        <w:t>תלויים</w:t>
      </w:r>
      <w:r w:rsidRPr="00531BD3">
        <w:rPr>
          <w:rFonts w:ascii="Century" w:hAnsi="Century"/>
          <w:sz w:val="22"/>
          <w:rtl/>
        </w:rPr>
        <w:t xml:space="preserve"> </w:t>
      </w:r>
      <w:r w:rsidRPr="00531BD3">
        <w:rPr>
          <w:rFonts w:ascii="Century" w:hAnsi="Century" w:hint="eastAsia"/>
          <w:sz w:val="22"/>
          <w:rtl/>
        </w:rPr>
        <w:t>בבעל</w:t>
      </w:r>
      <w:r w:rsidRPr="00531BD3">
        <w:rPr>
          <w:rFonts w:ascii="Century" w:hAnsi="Century"/>
          <w:sz w:val="22"/>
          <w:rtl/>
        </w:rPr>
        <w:t xml:space="preserve"> </w:t>
      </w:r>
      <w:r w:rsidRPr="00531BD3">
        <w:rPr>
          <w:rFonts w:ascii="Century" w:hAnsi="Century" w:hint="eastAsia"/>
          <w:sz w:val="22"/>
          <w:rtl/>
        </w:rPr>
        <w:t>השליטה</w:t>
      </w:r>
      <w:r w:rsidRPr="00531BD3">
        <w:rPr>
          <w:rFonts w:ascii="Century" w:hAnsi="Century"/>
          <w:sz w:val="22"/>
          <w:rtl/>
        </w:rPr>
        <w:t xml:space="preserve">. </w:t>
      </w:r>
      <w:r w:rsidRPr="00531BD3">
        <w:rPr>
          <w:rFonts w:ascii="Century" w:hAnsi="Century" w:hint="cs"/>
          <w:sz w:val="22"/>
          <w:rtl/>
        </w:rPr>
        <w:t xml:space="preserve">באותו עניין גם </w:t>
      </w:r>
      <w:r w:rsidRPr="00531BD3">
        <w:rPr>
          <w:rFonts w:ascii="Century" w:hAnsi="Century" w:hint="eastAsia"/>
          <w:sz w:val="22"/>
          <w:rtl/>
        </w:rPr>
        <w:t>נקבע</w:t>
      </w:r>
      <w:r w:rsidRPr="00531BD3">
        <w:rPr>
          <w:rFonts w:ascii="Century" w:hAnsi="Century" w:hint="cs"/>
          <w:sz w:val="22"/>
          <w:rtl/>
        </w:rPr>
        <w:t xml:space="preserve"> כי </w:t>
      </w:r>
      <w:r w:rsidRPr="00531BD3">
        <w:rPr>
          <w:rFonts w:ascii="Century" w:hAnsi="Century" w:hint="eastAsia"/>
          <w:sz w:val="22"/>
          <w:rtl/>
        </w:rPr>
        <w:t>מטרת</w:t>
      </w:r>
      <w:r w:rsidRPr="00531BD3">
        <w:rPr>
          <w:rFonts w:ascii="Century" w:hAnsi="Century"/>
          <w:sz w:val="22"/>
          <w:rtl/>
        </w:rPr>
        <w:t xml:space="preserve"> </w:t>
      </w:r>
      <w:r w:rsidRPr="00531BD3">
        <w:rPr>
          <w:rFonts w:ascii="Century" w:hAnsi="Century" w:hint="eastAsia"/>
          <w:sz w:val="22"/>
          <w:rtl/>
        </w:rPr>
        <w:t>פעילותה</w:t>
      </w:r>
      <w:r w:rsidRPr="00531BD3">
        <w:rPr>
          <w:rFonts w:ascii="Century" w:hAnsi="Century"/>
          <w:sz w:val="22"/>
          <w:rtl/>
        </w:rPr>
        <w:t xml:space="preserve"> </w:t>
      </w:r>
      <w:r w:rsidRPr="00531BD3">
        <w:rPr>
          <w:rFonts w:ascii="Century" w:hAnsi="Century" w:hint="eastAsia"/>
          <w:sz w:val="22"/>
          <w:rtl/>
        </w:rPr>
        <w:t>של</w:t>
      </w:r>
      <w:r w:rsidRPr="00531BD3">
        <w:rPr>
          <w:rFonts w:ascii="Century" w:hAnsi="Century"/>
          <w:sz w:val="22"/>
          <w:rtl/>
        </w:rPr>
        <w:t xml:space="preserve"> </w:t>
      </w:r>
      <w:r w:rsidRPr="00531BD3">
        <w:rPr>
          <w:rFonts w:ascii="Century" w:hAnsi="Century" w:hint="eastAsia"/>
          <w:sz w:val="22"/>
          <w:rtl/>
        </w:rPr>
        <w:t>ועדה</w:t>
      </w:r>
      <w:r w:rsidRPr="00531BD3">
        <w:rPr>
          <w:rFonts w:ascii="Century" w:hAnsi="Century" w:hint="cs"/>
          <w:sz w:val="22"/>
          <w:rtl/>
        </w:rPr>
        <w:t xml:space="preserve"> מיוחדת</w:t>
      </w:r>
      <w:r w:rsidRPr="00531BD3">
        <w:rPr>
          <w:rFonts w:ascii="Century" w:hAnsi="Century"/>
          <w:sz w:val="22"/>
          <w:rtl/>
        </w:rPr>
        <w:t xml:space="preserve"> </w:t>
      </w:r>
      <w:r w:rsidRPr="00531BD3">
        <w:rPr>
          <w:rFonts w:ascii="Century" w:hAnsi="Century" w:hint="cs"/>
          <w:sz w:val="22"/>
          <w:rtl/>
        </w:rPr>
        <w:t xml:space="preserve">כזו </w:t>
      </w:r>
      <w:r w:rsidRPr="00531BD3">
        <w:rPr>
          <w:rFonts w:ascii="Century" w:hAnsi="Century" w:hint="eastAsia"/>
          <w:sz w:val="22"/>
          <w:rtl/>
        </w:rPr>
        <w:t>היא</w:t>
      </w:r>
      <w:r w:rsidRPr="00531BD3">
        <w:rPr>
          <w:rFonts w:ascii="Century" w:hAnsi="Century"/>
          <w:sz w:val="22"/>
          <w:rtl/>
        </w:rPr>
        <w:t xml:space="preserve"> </w:t>
      </w:r>
      <w:r w:rsidRPr="00531BD3">
        <w:rPr>
          <w:rFonts w:ascii="Century" w:hAnsi="Century" w:hint="eastAsia"/>
          <w:sz w:val="22"/>
          <w:rtl/>
        </w:rPr>
        <w:t>להגביר</w:t>
      </w:r>
      <w:r w:rsidRPr="00531BD3">
        <w:rPr>
          <w:rFonts w:ascii="Century" w:hAnsi="Century"/>
          <w:sz w:val="22"/>
          <w:rtl/>
        </w:rPr>
        <w:t xml:space="preserve"> </w:t>
      </w:r>
      <w:r w:rsidRPr="00531BD3">
        <w:rPr>
          <w:rFonts w:ascii="Century" w:hAnsi="Century" w:hint="eastAsia"/>
          <w:sz w:val="22"/>
          <w:rtl/>
        </w:rPr>
        <w:t>את</w:t>
      </w:r>
      <w:r w:rsidRPr="00531BD3">
        <w:rPr>
          <w:rFonts w:ascii="Century" w:hAnsi="Century"/>
          <w:sz w:val="22"/>
          <w:rtl/>
        </w:rPr>
        <w:t xml:space="preserve"> </w:t>
      </w:r>
      <w:r w:rsidRPr="00531BD3">
        <w:rPr>
          <w:rFonts w:ascii="Century" w:hAnsi="Century" w:hint="eastAsia"/>
          <w:sz w:val="22"/>
          <w:rtl/>
        </w:rPr>
        <w:t>השקיפות</w:t>
      </w:r>
      <w:r w:rsidRPr="00531BD3">
        <w:rPr>
          <w:rFonts w:ascii="Century" w:hAnsi="Century"/>
          <w:sz w:val="22"/>
          <w:rtl/>
        </w:rPr>
        <w:t xml:space="preserve"> </w:t>
      </w:r>
      <w:r w:rsidRPr="00531BD3">
        <w:rPr>
          <w:rFonts w:ascii="Century" w:hAnsi="Century" w:hint="eastAsia"/>
          <w:sz w:val="22"/>
          <w:rtl/>
        </w:rPr>
        <w:t>בנוגע</w:t>
      </w:r>
      <w:r w:rsidRPr="00531BD3">
        <w:rPr>
          <w:rFonts w:ascii="Century" w:hAnsi="Century"/>
          <w:sz w:val="22"/>
          <w:rtl/>
        </w:rPr>
        <w:t xml:space="preserve"> </w:t>
      </w:r>
      <w:r w:rsidRPr="00531BD3">
        <w:rPr>
          <w:rFonts w:ascii="Century" w:hAnsi="Century" w:hint="eastAsia"/>
          <w:sz w:val="22"/>
          <w:rtl/>
        </w:rPr>
        <w:t>לתהליך</w:t>
      </w:r>
      <w:r w:rsidRPr="00531BD3">
        <w:rPr>
          <w:rFonts w:ascii="Century" w:hAnsi="Century"/>
          <w:sz w:val="22"/>
          <w:rtl/>
        </w:rPr>
        <w:t xml:space="preserve"> </w:t>
      </w:r>
      <w:r w:rsidRPr="00531BD3">
        <w:rPr>
          <w:rFonts w:ascii="Century" w:hAnsi="Century" w:hint="eastAsia"/>
          <w:sz w:val="22"/>
          <w:rtl/>
        </w:rPr>
        <w:t>קבלת</w:t>
      </w:r>
      <w:r w:rsidRPr="00531BD3">
        <w:rPr>
          <w:rFonts w:ascii="Century" w:hAnsi="Century"/>
          <w:sz w:val="22"/>
          <w:rtl/>
        </w:rPr>
        <w:t xml:space="preserve"> </w:t>
      </w:r>
      <w:r w:rsidRPr="00531BD3">
        <w:rPr>
          <w:rFonts w:ascii="Century" w:hAnsi="Century" w:hint="eastAsia"/>
          <w:sz w:val="22"/>
          <w:rtl/>
        </w:rPr>
        <w:t>ההחלטות</w:t>
      </w:r>
      <w:r w:rsidRPr="00531BD3">
        <w:rPr>
          <w:rFonts w:ascii="Century" w:hAnsi="Century"/>
          <w:sz w:val="22"/>
          <w:rtl/>
        </w:rPr>
        <w:t xml:space="preserve"> </w:t>
      </w:r>
      <w:r w:rsidRPr="00531BD3">
        <w:rPr>
          <w:rFonts w:ascii="Century" w:hAnsi="Century" w:hint="cs"/>
          <w:sz w:val="22"/>
          <w:rtl/>
        </w:rPr>
        <w:t xml:space="preserve">בקשר </w:t>
      </w:r>
      <w:r w:rsidRPr="00531BD3">
        <w:rPr>
          <w:rFonts w:ascii="Century" w:hAnsi="Century" w:hint="eastAsia"/>
          <w:sz w:val="22"/>
          <w:rtl/>
        </w:rPr>
        <w:t>לעסקה</w:t>
      </w:r>
      <w:r w:rsidRPr="00531BD3">
        <w:rPr>
          <w:rFonts w:ascii="Century" w:hAnsi="Century"/>
          <w:sz w:val="22"/>
          <w:rtl/>
        </w:rPr>
        <w:t xml:space="preserve"> </w:t>
      </w:r>
      <w:r w:rsidRPr="00531BD3">
        <w:rPr>
          <w:rFonts w:ascii="Century" w:hAnsi="Century" w:hint="eastAsia"/>
          <w:sz w:val="22"/>
          <w:rtl/>
        </w:rPr>
        <w:t>עם</w:t>
      </w:r>
      <w:r w:rsidRPr="00531BD3">
        <w:rPr>
          <w:rFonts w:ascii="Century" w:hAnsi="Century"/>
          <w:sz w:val="22"/>
          <w:rtl/>
        </w:rPr>
        <w:t xml:space="preserve"> </w:t>
      </w:r>
      <w:r w:rsidRPr="00531BD3">
        <w:rPr>
          <w:rFonts w:ascii="Century" w:hAnsi="Century" w:hint="eastAsia"/>
          <w:sz w:val="22"/>
          <w:rtl/>
        </w:rPr>
        <w:t>בעל</w:t>
      </w:r>
      <w:r w:rsidRPr="00531BD3">
        <w:rPr>
          <w:rFonts w:ascii="Century" w:hAnsi="Century"/>
          <w:sz w:val="22"/>
          <w:rtl/>
        </w:rPr>
        <w:t xml:space="preserve"> </w:t>
      </w:r>
      <w:r w:rsidRPr="00531BD3">
        <w:rPr>
          <w:rFonts w:ascii="Century" w:hAnsi="Century" w:hint="eastAsia"/>
          <w:sz w:val="22"/>
          <w:rtl/>
        </w:rPr>
        <w:t>השליטה</w:t>
      </w:r>
      <w:r w:rsidRPr="00531BD3">
        <w:rPr>
          <w:rFonts w:ascii="Century" w:hAnsi="Century" w:hint="cs"/>
          <w:sz w:val="22"/>
          <w:rtl/>
        </w:rPr>
        <w:t xml:space="preserve"> </w:t>
      </w:r>
      <w:r w:rsidRPr="00531BD3">
        <w:rPr>
          <w:rFonts w:ascii="Century" w:hAnsi="Century" w:hint="eastAsia"/>
          <w:sz w:val="22"/>
          <w:rtl/>
        </w:rPr>
        <w:t>ולשפר</w:t>
      </w:r>
      <w:r w:rsidRPr="00531BD3">
        <w:rPr>
          <w:rFonts w:ascii="Century" w:hAnsi="Century"/>
          <w:sz w:val="22"/>
          <w:rtl/>
        </w:rPr>
        <w:t xml:space="preserve"> </w:t>
      </w:r>
      <w:r w:rsidRPr="00531BD3">
        <w:rPr>
          <w:rFonts w:ascii="Century" w:hAnsi="Century" w:hint="eastAsia"/>
          <w:sz w:val="22"/>
          <w:rtl/>
        </w:rPr>
        <w:t>את</w:t>
      </w:r>
      <w:r w:rsidRPr="00531BD3">
        <w:rPr>
          <w:rFonts w:ascii="Century" w:hAnsi="Century"/>
          <w:sz w:val="22"/>
          <w:rtl/>
        </w:rPr>
        <w:t xml:space="preserve"> </w:t>
      </w:r>
      <w:r w:rsidRPr="00531BD3">
        <w:rPr>
          <w:rFonts w:ascii="Century" w:hAnsi="Century" w:hint="eastAsia"/>
          <w:sz w:val="22"/>
          <w:rtl/>
        </w:rPr>
        <w:t>ההצעה</w:t>
      </w:r>
      <w:r w:rsidRPr="00531BD3">
        <w:rPr>
          <w:rFonts w:ascii="Century" w:hAnsi="Century"/>
          <w:sz w:val="22"/>
          <w:rtl/>
        </w:rPr>
        <w:t xml:space="preserve"> </w:t>
      </w:r>
      <w:r w:rsidRPr="00531BD3">
        <w:rPr>
          <w:rFonts w:ascii="Century" w:hAnsi="Century" w:hint="eastAsia"/>
          <w:sz w:val="22"/>
          <w:rtl/>
        </w:rPr>
        <w:t>שתובא</w:t>
      </w:r>
      <w:r w:rsidRPr="00531BD3">
        <w:rPr>
          <w:rFonts w:ascii="Century" w:hAnsi="Century"/>
          <w:sz w:val="22"/>
          <w:rtl/>
        </w:rPr>
        <w:t xml:space="preserve"> </w:t>
      </w:r>
      <w:r w:rsidRPr="00531BD3">
        <w:rPr>
          <w:rFonts w:ascii="Century" w:hAnsi="Century" w:hint="eastAsia"/>
          <w:sz w:val="22"/>
          <w:rtl/>
        </w:rPr>
        <w:t>בסופו</w:t>
      </w:r>
      <w:r w:rsidRPr="00531BD3">
        <w:rPr>
          <w:rFonts w:ascii="Century" w:hAnsi="Century"/>
          <w:sz w:val="22"/>
          <w:rtl/>
        </w:rPr>
        <w:t xml:space="preserve"> </w:t>
      </w:r>
      <w:r w:rsidRPr="00531BD3">
        <w:rPr>
          <w:rFonts w:ascii="Century" w:hAnsi="Century" w:hint="eastAsia"/>
          <w:sz w:val="22"/>
          <w:rtl/>
        </w:rPr>
        <w:t>של</w:t>
      </w:r>
      <w:r w:rsidRPr="00531BD3">
        <w:rPr>
          <w:rFonts w:ascii="Century" w:hAnsi="Century"/>
          <w:sz w:val="22"/>
          <w:rtl/>
        </w:rPr>
        <w:t xml:space="preserve"> </w:t>
      </w:r>
      <w:r w:rsidRPr="00531BD3">
        <w:rPr>
          <w:rFonts w:ascii="Century" w:hAnsi="Century" w:hint="eastAsia"/>
          <w:sz w:val="22"/>
          <w:rtl/>
        </w:rPr>
        <w:t>דבר</w:t>
      </w:r>
      <w:r w:rsidRPr="00531BD3">
        <w:rPr>
          <w:rFonts w:ascii="Century" w:hAnsi="Century"/>
          <w:sz w:val="22"/>
          <w:rtl/>
        </w:rPr>
        <w:t xml:space="preserve"> </w:t>
      </w:r>
      <w:r w:rsidRPr="00531BD3">
        <w:rPr>
          <w:rFonts w:ascii="Century" w:hAnsi="Century" w:hint="eastAsia"/>
          <w:sz w:val="22"/>
          <w:rtl/>
        </w:rPr>
        <w:t>לאישורה</w:t>
      </w:r>
      <w:r w:rsidRPr="00531BD3">
        <w:rPr>
          <w:rFonts w:ascii="Century" w:hAnsi="Century"/>
          <w:sz w:val="22"/>
          <w:rtl/>
        </w:rPr>
        <w:t xml:space="preserve"> </w:t>
      </w:r>
      <w:r w:rsidRPr="00531BD3">
        <w:rPr>
          <w:rFonts w:ascii="Century" w:hAnsi="Century" w:hint="eastAsia"/>
          <w:sz w:val="22"/>
          <w:rtl/>
        </w:rPr>
        <w:t>של</w:t>
      </w:r>
      <w:r w:rsidRPr="00531BD3">
        <w:rPr>
          <w:rFonts w:ascii="Century" w:hAnsi="Century"/>
          <w:sz w:val="22"/>
          <w:rtl/>
        </w:rPr>
        <w:t xml:space="preserve"> </w:t>
      </w:r>
      <w:r w:rsidRPr="00531BD3">
        <w:rPr>
          <w:rFonts w:ascii="Century" w:hAnsi="Century" w:hint="eastAsia"/>
          <w:sz w:val="22"/>
          <w:rtl/>
        </w:rPr>
        <w:t>האסיפה</w:t>
      </w:r>
      <w:r w:rsidRPr="00531BD3">
        <w:rPr>
          <w:rFonts w:ascii="Century" w:hAnsi="Century"/>
          <w:sz w:val="22"/>
          <w:rtl/>
        </w:rPr>
        <w:t xml:space="preserve"> </w:t>
      </w:r>
      <w:r w:rsidRPr="00531BD3">
        <w:rPr>
          <w:rFonts w:ascii="Century" w:hAnsi="Century" w:hint="eastAsia"/>
          <w:sz w:val="22"/>
          <w:rtl/>
        </w:rPr>
        <w:t>הכללית</w:t>
      </w:r>
      <w:r w:rsidRPr="00531BD3">
        <w:rPr>
          <w:rFonts w:ascii="Century" w:hAnsi="Century"/>
          <w:sz w:val="22"/>
          <w:rtl/>
        </w:rPr>
        <w:t xml:space="preserve">. </w:t>
      </w:r>
      <w:r w:rsidRPr="00531BD3">
        <w:rPr>
          <w:rFonts w:hint="cs"/>
          <w:rtl/>
        </w:rPr>
        <w:t xml:space="preserve">מאז ניתן פסק הדין האמור, </w:t>
      </w:r>
      <w:r w:rsidRPr="00531BD3">
        <w:rPr>
          <w:rFonts w:hint="eastAsia"/>
          <w:rtl/>
        </w:rPr>
        <w:t>השימוש</w:t>
      </w:r>
      <w:r w:rsidRPr="00531BD3">
        <w:rPr>
          <w:rtl/>
        </w:rPr>
        <w:t xml:space="preserve"> </w:t>
      </w:r>
      <w:r w:rsidRPr="00531BD3">
        <w:rPr>
          <w:rFonts w:hint="eastAsia"/>
          <w:rtl/>
        </w:rPr>
        <w:t>בוועדה</w:t>
      </w:r>
      <w:r w:rsidRPr="00531BD3">
        <w:rPr>
          <w:rtl/>
        </w:rPr>
        <w:t xml:space="preserve"> </w:t>
      </w:r>
      <w:r w:rsidRPr="00531BD3">
        <w:rPr>
          <w:rFonts w:hint="cs"/>
          <w:rtl/>
        </w:rPr>
        <w:t xml:space="preserve">מיוחדת </w:t>
      </w:r>
      <w:r w:rsidRPr="00531BD3">
        <w:rPr>
          <w:rFonts w:hint="eastAsia"/>
          <w:rtl/>
        </w:rPr>
        <w:t>לניהול</w:t>
      </w:r>
      <w:r w:rsidRPr="00531BD3">
        <w:rPr>
          <w:rtl/>
        </w:rPr>
        <w:t xml:space="preserve"> </w:t>
      </w:r>
      <w:r w:rsidRPr="00531BD3">
        <w:rPr>
          <w:rFonts w:hint="eastAsia"/>
          <w:rtl/>
        </w:rPr>
        <w:t>משא</w:t>
      </w:r>
      <w:r w:rsidRPr="00531BD3">
        <w:rPr>
          <w:rtl/>
        </w:rPr>
        <w:t xml:space="preserve"> </w:t>
      </w:r>
      <w:r w:rsidRPr="00531BD3">
        <w:rPr>
          <w:rFonts w:hint="eastAsia"/>
          <w:rtl/>
        </w:rPr>
        <w:t>ומתן</w:t>
      </w:r>
      <w:r w:rsidRPr="00531BD3">
        <w:rPr>
          <w:rtl/>
        </w:rPr>
        <w:t xml:space="preserve"> </w:t>
      </w:r>
      <w:r w:rsidRPr="00531BD3">
        <w:rPr>
          <w:rFonts w:hint="eastAsia"/>
          <w:rtl/>
        </w:rPr>
        <w:t>בעסקאות</w:t>
      </w:r>
      <w:r w:rsidRPr="00531BD3">
        <w:rPr>
          <w:rtl/>
        </w:rPr>
        <w:t xml:space="preserve"> </w:t>
      </w:r>
      <w:r w:rsidRPr="00531BD3">
        <w:rPr>
          <w:rFonts w:hint="cs"/>
          <w:rtl/>
        </w:rPr>
        <w:t xml:space="preserve">שבולט בהן היבט </w:t>
      </w:r>
      <w:r w:rsidRPr="00531BD3">
        <w:rPr>
          <w:rFonts w:hint="eastAsia"/>
          <w:rtl/>
        </w:rPr>
        <w:t>ניגוד</w:t>
      </w:r>
      <w:r w:rsidRPr="00531BD3">
        <w:rPr>
          <w:rtl/>
        </w:rPr>
        <w:t xml:space="preserve"> </w:t>
      </w:r>
      <w:r w:rsidRPr="00531BD3">
        <w:rPr>
          <w:rFonts w:hint="cs"/>
          <w:rtl/>
        </w:rPr>
        <w:t xml:space="preserve">העניינים עם בעל השליטה, </w:t>
      </w:r>
      <w:r w:rsidRPr="00531BD3">
        <w:rPr>
          <w:rFonts w:hint="eastAsia"/>
          <w:rtl/>
        </w:rPr>
        <w:t>הפך</w:t>
      </w:r>
      <w:r w:rsidRPr="00531BD3">
        <w:rPr>
          <w:rtl/>
        </w:rPr>
        <w:t xml:space="preserve"> </w:t>
      </w:r>
      <w:r w:rsidRPr="00531BD3">
        <w:rPr>
          <w:rFonts w:hint="cs"/>
          <w:rtl/>
        </w:rPr>
        <w:t>ל</w:t>
      </w:r>
      <w:r w:rsidRPr="00531BD3">
        <w:rPr>
          <w:rFonts w:hint="eastAsia"/>
          <w:rtl/>
        </w:rPr>
        <w:t>נפוץ</w:t>
      </w:r>
      <w:r w:rsidRPr="00531BD3">
        <w:rPr>
          <w:rtl/>
        </w:rPr>
        <w:t xml:space="preserve"> </w:t>
      </w:r>
      <w:r w:rsidRPr="00531BD3">
        <w:rPr>
          <w:rFonts w:hint="eastAsia"/>
          <w:rtl/>
        </w:rPr>
        <w:t>במשק</w:t>
      </w:r>
      <w:r w:rsidRPr="00531BD3">
        <w:rPr>
          <w:rtl/>
        </w:rPr>
        <w:t xml:space="preserve"> </w:t>
      </w:r>
      <w:r w:rsidRPr="00531BD3">
        <w:rPr>
          <w:rFonts w:hint="eastAsia"/>
          <w:rtl/>
        </w:rPr>
        <w:t>הישראלי</w:t>
      </w:r>
      <w:r w:rsidRPr="00531BD3">
        <w:rPr>
          <w:rtl/>
        </w:rPr>
        <w:t xml:space="preserve"> (</w:t>
      </w:r>
      <w:r w:rsidRPr="00531BD3">
        <w:rPr>
          <w:rFonts w:cs="Miriam" w:hint="eastAsia"/>
          <w:b/>
          <w:spacing w:val="0"/>
          <w:szCs w:val="24"/>
          <w:rtl/>
        </w:rPr>
        <w:t>חמדני</w:t>
      </w:r>
      <w:r w:rsidRPr="00531BD3">
        <w:rPr>
          <w:rFonts w:cs="Miriam"/>
          <w:b/>
          <w:spacing w:val="0"/>
          <w:szCs w:val="24"/>
          <w:rtl/>
        </w:rPr>
        <w:t xml:space="preserve"> </w:t>
      </w:r>
      <w:proofErr w:type="spellStart"/>
      <w:r w:rsidRPr="00531BD3">
        <w:rPr>
          <w:rFonts w:cs="Miriam" w:hint="eastAsia"/>
          <w:b/>
          <w:spacing w:val="0"/>
          <w:szCs w:val="24"/>
          <w:rtl/>
        </w:rPr>
        <w:t>וחנס</w:t>
      </w:r>
      <w:proofErr w:type="spellEnd"/>
      <w:r w:rsidRPr="00531BD3">
        <w:rPr>
          <w:rtl/>
        </w:rPr>
        <w:t xml:space="preserve">, </w:t>
      </w:r>
      <w:r w:rsidRPr="00531BD3">
        <w:rPr>
          <w:rFonts w:hint="eastAsia"/>
          <w:rtl/>
        </w:rPr>
        <w:t>עמ</w:t>
      </w:r>
      <w:r w:rsidRPr="00531BD3">
        <w:rPr>
          <w:rtl/>
        </w:rPr>
        <w:t>' 765</w:t>
      </w:r>
      <w:r w:rsidRPr="00531BD3">
        <w:rPr>
          <w:rFonts w:hint="cs"/>
          <w:rtl/>
        </w:rPr>
        <w:t xml:space="preserve">-764; עניין </w:t>
      </w:r>
      <w:r w:rsidRPr="00531BD3">
        <w:rPr>
          <w:rFonts w:cs="Miriam" w:hint="cs"/>
          <w:b/>
          <w:spacing w:val="0"/>
          <w:szCs w:val="24"/>
          <w:rtl/>
        </w:rPr>
        <w:t>אסם השקעות</w:t>
      </w:r>
      <w:r w:rsidRPr="00531BD3">
        <w:rPr>
          <w:rFonts w:hint="cs"/>
          <w:rtl/>
        </w:rPr>
        <w:t>, פסקה 15)</w:t>
      </w:r>
      <w:r w:rsidRPr="00531BD3">
        <w:rPr>
          <w:rtl/>
        </w:rPr>
        <w:t>.</w:t>
      </w:r>
    </w:p>
    <w:p w:rsidR="008A4DD4" w:rsidRPr="00531BD3" w:rsidRDefault="008A4DD4" w:rsidP="008A4DD4">
      <w:pPr>
        <w:pStyle w:val="Ruller4"/>
        <w:numPr>
          <w:ilvl w:val="0"/>
          <w:numId w:val="0"/>
        </w:numPr>
      </w:pPr>
    </w:p>
    <w:p w:rsidR="008A4DD4" w:rsidRPr="00531BD3" w:rsidRDefault="008A4DD4" w:rsidP="008A4DD4">
      <w:pPr>
        <w:pStyle w:val="Ruller4"/>
        <w:rPr>
          <w:rtl/>
        </w:rPr>
      </w:pPr>
      <w:r w:rsidRPr="00531BD3">
        <w:rPr>
          <w:rFonts w:hint="cs"/>
          <w:rtl/>
        </w:rPr>
        <w:t xml:space="preserve">בפסיקה שהתפתחה בקשר למאפייניה של הוועדה (בעיקר בתקופה שלאחר התקיימות האירועים מושא כתב האישום), הודגש כי נוכח העובדה שמדובר במנגנון שהתגבש במטרה </w:t>
      </w:r>
      <w:r w:rsidRPr="00531BD3">
        <w:rPr>
          <w:rFonts w:hint="eastAsia"/>
          <w:rtl/>
        </w:rPr>
        <w:t>לדמות</w:t>
      </w:r>
      <w:r w:rsidRPr="00531BD3">
        <w:rPr>
          <w:rtl/>
        </w:rPr>
        <w:t xml:space="preserve"> </w:t>
      </w:r>
      <w:r w:rsidRPr="00531BD3">
        <w:rPr>
          <w:rFonts w:hint="eastAsia"/>
          <w:rtl/>
        </w:rPr>
        <w:t>משא</w:t>
      </w:r>
      <w:r w:rsidRPr="00531BD3">
        <w:rPr>
          <w:rtl/>
        </w:rPr>
        <w:t xml:space="preserve"> </w:t>
      </w:r>
      <w:r w:rsidRPr="00531BD3">
        <w:rPr>
          <w:rFonts w:hint="eastAsia"/>
          <w:rtl/>
        </w:rPr>
        <w:t>ומתן</w:t>
      </w:r>
      <w:r w:rsidRPr="00531BD3">
        <w:rPr>
          <w:rtl/>
        </w:rPr>
        <w:t xml:space="preserve"> </w:t>
      </w:r>
      <w:r w:rsidRPr="00531BD3">
        <w:rPr>
          <w:rFonts w:hint="eastAsia"/>
          <w:rtl/>
        </w:rPr>
        <w:t>המתנהל</w:t>
      </w:r>
      <w:r w:rsidRPr="00531BD3">
        <w:rPr>
          <w:rtl/>
        </w:rPr>
        <w:t xml:space="preserve"> </w:t>
      </w:r>
      <w:r w:rsidRPr="00531BD3">
        <w:rPr>
          <w:rFonts w:hint="eastAsia"/>
          <w:rtl/>
        </w:rPr>
        <w:t>על</w:t>
      </w:r>
      <w:r w:rsidRPr="00531BD3">
        <w:rPr>
          <w:rtl/>
        </w:rPr>
        <w:t xml:space="preserve"> </w:t>
      </w:r>
      <w:r w:rsidRPr="00531BD3">
        <w:rPr>
          <w:rFonts w:hint="eastAsia"/>
          <w:rtl/>
        </w:rPr>
        <w:t>ידי</w:t>
      </w:r>
      <w:r w:rsidRPr="00531BD3">
        <w:rPr>
          <w:rtl/>
        </w:rPr>
        <w:t xml:space="preserve"> </w:t>
      </w:r>
      <w:r w:rsidRPr="00531BD3">
        <w:rPr>
          <w:rFonts w:hint="eastAsia"/>
          <w:rtl/>
        </w:rPr>
        <w:t>החברה</w:t>
      </w:r>
      <w:r w:rsidRPr="00531BD3">
        <w:rPr>
          <w:rtl/>
        </w:rPr>
        <w:t xml:space="preserve"> </w:t>
      </w:r>
      <w:r w:rsidRPr="00531BD3">
        <w:rPr>
          <w:rFonts w:hint="eastAsia"/>
          <w:rtl/>
        </w:rPr>
        <w:t>עם</w:t>
      </w:r>
      <w:r w:rsidRPr="00531BD3">
        <w:rPr>
          <w:rtl/>
        </w:rPr>
        <w:t xml:space="preserve"> </w:t>
      </w:r>
      <w:r w:rsidRPr="00531BD3">
        <w:rPr>
          <w:rFonts w:hint="eastAsia"/>
          <w:rtl/>
        </w:rPr>
        <w:t>צד</w:t>
      </w:r>
      <w:r w:rsidRPr="00531BD3">
        <w:rPr>
          <w:rtl/>
        </w:rPr>
        <w:t xml:space="preserve"> </w:t>
      </w:r>
      <w:r w:rsidRPr="00531BD3">
        <w:rPr>
          <w:rFonts w:hint="eastAsia"/>
          <w:rtl/>
        </w:rPr>
        <w:t>בלתי</w:t>
      </w:r>
      <w:r w:rsidRPr="00531BD3">
        <w:rPr>
          <w:rtl/>
        </w:rPr>
        <w:t xml:space="preserve"> </w:t>
      </w:r>
      <w:r w:rsidRPr="00531BD3">
        <w:rPr>
          <w:rFonts w:hint="eastAsia"/>
          <w:rtl/>
        </w:rPr>
        <w:t>קשור</w:t>
      </w:r>
      <w:r w:rsidRPr="00531BD3">
        <w:rPr>
          <w:rFonts w:hint="cs"/>
          <w:rtl/>
        </w:rPr>
        <w:t xml:space="preserve">, תוך נטרול </w:t>
      </w:r>
      <w:r w:rsidRPr="00531BD3">
        <w:rPr>
          <w:rFonts w:hint="eastAsia"/>
          <w:rtl/>
        </w:rPr>
        <w:t>השפעתו</w:t>
      </w:r>
      <w:r w:rsidRPr="00531BD3">
        <w:rPr>
          <w:rtl/>
        </w:rPr>
        <w:t xml:space="preserve"> </w:t>
      </w:r>
      <w:r w:rsidRPr="00531BD3">
        <w:rPr>
          <w:rFonts w:hint="eastAsia"/>
          <w:rtl/>
        </w:rPr>
        <w:t>של</w:t>
      </w:r>
      <w:r w:rsidRPr="00531BD3">
        <w:rPr>
          <w:rtl/>
        </w:rPr>
        <w:t xml:space="preserve"> </w:t>
      </w:r>
      <w:r w:rsidRPr="00531BD3">
        <w:rPr>
          <w:rFonts w:hint="eastAsia"/>
          <w:rtl/>
        </w:rPr>
        <w:t>ניגוד</w:t>
      </w:r>
      <w:r w:rsidRPr="00531BD3">
        <w:rPr>
          <w:rtl/>
        </w:rPr>
        <w:t xml:space="preserve"> </w:t>
      </w:r>
      <w:r w:rsidRPr="00531BD3">
        <w:rPr>
          <w:rFonts w:hint="eastAsia"/>
          <w:rtl/>
        </w:rPr>
        <w:t>העניינים</w:t>
      </w:r>
      <w:r w:rsidRPr="00531BD3">
        <w:rPr>
          <w:rtl/>
        </w:rPr>
        <w:t xml:space="preserve"> </w:t>
      </w:r>
      <w:r w:rsidRPr="00531BD3">
        <w:rPr>
          <w:rFonts w:hint="eastAsia"/>
          <w:rtl/>
        </w:rPr>
        <w:t>שבו</w:t>
      </w:r>
      <w:r w:rsidRPr="00531BD3">
        <w:rPr>
          <w:rtl/>
        </w:rPr>
        <w:t xml:space="preserve"> </w:t>
      </w:r>
      <w:r w:rsidRPr="00531BD3">
        <w:rPr>
          <w:rFonts w:hint="eastAsia"/>
          <w:rtl/>
        </w:rPr>
        <w:t>נתון</w:t>
      </w:r>
      <w:r w:rsidRPr="00531BD3">
        <w:rPr>
          <w:rtl/>
        </w:rPr>
        <w:t xml:space="preserve"> </w:t>
      </w:r>
      <w:r w:rsidRPr="00531BD3">
        <w:rPr>
          <w:rFonts w:hint="eastAsia"/>
          <w:rtl/>
        </w:rPr>
        <w:t>בעל</w:t>
      </w:r>
      <w:r w:rsidRPr="00531BD3">
        <w:rPr>
          <w:rtl/>
        </w:rPr>
        <w:t xml:space="preserve"> </w:t>
      </w:r>
      <w:r w:rsidRPr="00531BD3">
        <w:rPr>
          <w:rFonts w:hint="eastAsia"/>
          <w:rtl/>
        </w:rPr>
        <w:t>השליטה</w:t>
      </w:r>
      <w:r w:rsidRPr="00531BD3">
        <w:rPr>
          <w:rtl/>
        </w:rPr>
        <w:t xml:space="preserve"> </w:t>
      </w:r>
      <w:r w:rsidRPr="00531BD3">
        <w:rPr>
          <w:rFonts w:hint="eastAsia"/>
          <w:rtl/>
        </w:rPr>
        <w:t>בחברה</w:t>
      </w:r>
      <w:r w:rsidRPr="00531BD3">
        <w:rPr>
          <w:rFonts w:hint="cs"/>
          <w:rtl/>
        </w:rPr>
        <w:t xml:space="preserve">, על הוועדה "לשמור על סודיות דיוניה ולא לחשוף בפני בעל השליטה את האסטרטגיה העסקית שלה" (עניין </w:t>
      </w:r>
      <w:r w:rsidRPr="00531BD3">
        <w:rPr>
          <w:rFonts w:ascii="Century" w:hAnsi="Century" w:cs="Miriam" w:hint="cs"/>
          <w:b/>
          <w:spacing w:val="0"/>
          <w:sz w:val="22"/>
          <w:szCs w:val="24"/>
          <w:rtl/>
        </w:rPr>
        <w:t>אסם השקעות</w:t>
      </w:r>
      <w:r w:rsidRPr="00531BD3">
        <w:rPr>
          <w:rFonts w:hint="cs"/>
          <w:rtl/>
        </w:rPr>
        <w:t xml:space="preserve">, פסקה 16). לאחרונה אף התבטא השופט </w:t>
      </w:r>
      <w:r w:rsidRPr="00531BD3">
        <w:rPr>
          <w:rFonts w:ascii="Century" w:hAnsi="Century" w:cs="Miriam" w:hint="cs"/>
          <w:b/>
          <w:spacing w:val="0"/>
          <w:sz w:val="22"/>
          <w:szCs w:val="24"/>
          <w:rtl/>
        </w:rPr>
        <w:t>ח' כבוב</w:t>
      </w:r>
      <w:r w:rsidRPr="00531BD3">
        <w:rPr>
          <w:rFonts w:hint="cs"/>
          <w:rtl/>
        </w:rPr>
        <w:t xml:space="preserve"> בהקשר דומה (</w:t>
      </w:r>
      <w:r w:rsidRPr="00531BD3">
        <w:rPr>
          <w:rFonts w:hint="eastAsia"/>
          <w:rtl/>
        </w:rPr>
        <w:t>רע</w:t>
      </w:r>
      <w:r w:rsidRPr="00531BD3">
        <w:rPr>
          <w:rFonts w:hint="cs"/>
          <w:rtl/>
        </w:rPr>
        <w:t>"</w:t>
      </w:r>
      <w:r w:rsidRPr="00531BD3">
        <w:rPr>
          <w:rFonts w:hint="eastAsia"/>
          <w:rtl/>
        </w:rPr>
        <w:t>א</w:t>
      </w:r>
      <w:r w:rsidRPr="00531BD3">
        <w:rPr>
          <w:rtl/>
        </w:rPr>
        <w:t xml:space="preserve"> 6280/22 </w:t>
      </w:r>
      <w:r w:rsidRPr="00531BD3">
        <w:rPr>
          <w:rFonts w:ascii="Century" w:hAnsi="Century" w:cs="Miriam" w:hint="eastAsia"/>
          <w:b/>
          <w:spacing w:val="0"/>
          <w:sz w:val="22"/>
          <w:szCs w:val="24"/>
          <w:rtl/>
        </w:rPr>
        <w:t>ענבר</w:t>
      </w:r>
      <w:r w:rsidRPr="00531BD3">
        <w:rPr>
          <w:rFonts w:ascii="Century" w:hAnsi="Century" w:cs="Miriam"/>
          <w:b/>
          <w:spacing w:val="0"/>
          <w:sz w:val="22"/>
          <w:szCs w:val="24"/>
          <w:rtl/>
        </w:rPr>
        <w:t xml:space="preserve"> </w:t>
      </w:r>
      <w:r w:rsidRPr="00531BD3">
        <w:rPr>
          <w:rFonts w:ascii="Century" w:hAnsi="Century" w:cs="Miriam" w:hint="eastAsia"/>
          <w:b/>
          <w:spacing w:val="0"/>
          <w:sz w:val="22"/>
          <w:szCs w:val="24"/>
          <w:rtl/>
        </w:rPr>
        <w:t>נ</w:t>
      </w:r>
      <w:r w:rsidRPr="00531BD3">
        <w:rPr>
          <w:rFonts w:ascii="Century" w:hAnsi="Century" w:cs="Miriam"/>
          <w:b/>
          <w:spacing w:val="0"/>
          <w:sz w:val="22"/>
          <w:szCs w:val="24"/>
          <w:rtl/>
        </w:rPr>
        <w:t xml:space="preserve">' </w:t>
      </w:r>
      <w:r w:rsidRPr="00531BD3">
        <w:rPr>
          <w:rFonts w:ascii="Century" w:hAnsi="Century" w:cs="Miriam" w:hint="cs"/>
          <w:b/>
          <w:spacing w:val="0"/>
          <w:szCs w:val="24"/>
          <w:rtl/>
        </w:rPr>
        <w:t xml:space="preserve">עו"ד </w:t>
      </w:r>
      <w:r w:rsidRPr="00531BD3">
        <w:rPr>
          <w:rFonts w:ascii="Century" w:hAnsi="Century" w:cs="Miriam" w:hint="eastAsia"/>
          <w:b/>
          <w:spacing w:val="0"/>
          <w:sz w:val="22"/>
          <w:szCs w:val="24"/>
          <w:rtl/>
        </w:rPr>
        <w:t>אופיר</w:t>
      </w:r>
      <w:r w:rsidRPr="00531BD3">
        <w:rPr>
          <w:rFonts w:ascii="Century" w:hAnsi="Century" w:cs="Miriam"/>
          <w:b/>
          <w:spacing w:val="0"/>
          <w:sz w:val="22"/>
          <w:szCs w:val="24"/>
          <w:rtl/>
        </w:rPr>
        <w:t xml:space="preserve"> </w:t>
      </w:r>
      <w:r w:rsidRPr="00531BD3">
        <w:rPr>
          <w:rFonts w:ascii="Century" w:hAnsi="Century" w:cs="Miriam" w:hint="eastAsia"/>
          <w:b/>
          <w:spacing w:val="0"/>
          <w:sz w:val="22"/>
          <w:szCs w:val="24"/>
          <w:rtl/>
        </w:rPr>
        <w:t>נאור</w:t>
      </w:r>
      <w:r w:rsidRPr="00531BD3">
        <w:rPr>
          <w:rFonts w:ascii="Century" w:hAnsi="Century" w:cs="Miriam"/>
          <w:b/>
          <w:spacing w:val="0"/>
          <w:sz w:val="22"/>
          <w:szCs w:val="24"/>
          <w:rtl/>
        </w:rPr>
        <w:t xml:space="preserve"> </w:t>
      </w:r>
      <w:r w:rsidRPr="00531BD3">
        <w:rPr>
          <w:rFonts w:ascii="Century" w:hAnsi="Century" w:cs="Miriam" w:hint="eastAsia"/>
          <w:b/>
          <w:spacing w:val="0"/>
          <w:sz w:val="22"/>
          <w:szCs w:val="24"/>
          <w:rtl/>
        </w:rPr>
        <w:t>נאמן</w:t>
      </w:r>
      <w:r w:rsidRPr="00531BD3">
        <w:rPr>
          <w:rFonts w:ascii="Century" w:hAnsi="Century" w:cs="Miriam"/>
          <w:b/>
          <w:spacing w:val="0"/>
          <w:sz w:val="22"/>
          <w:szCs w:val="24"/>
          <w:rtl/>
        </w:rPr>
        <w:t xml:space="preserve"> </w:t>
      </w:r>
      <w:proofErr w:type="spellStart"/>
      <w:r w:rsidRPr="00531BD3">
        <w:rPr>
          <w:rFonts w:ascii="Century" w:hAnsi="Century" w:cs="Miriam" w:hint="eastAsia"/>
          <w:b/>
          <w:spacing w:val="0"/>
          <w:sz w:val="22"/>
          <w:szCs w:val="24"/>
          <w:rtl/>
        </w:rPr>
        <w:t>אידיבי</w:t>
      </w:r>
      <w:proofErr w:type="spellEnd"/>
      <w:r w:rsidRPr="00531BD3">
        <w:rPr>
          <w:rFonts w:ascii="Century" w:hAnsi="Century" w:cs="Miriam"/>
          <w:b/>
          <w:spacing w:val="0"/>
          <w:sz w:val="22"/>
          <w:szCs w:val="24"/>
          <w:rtl/>
        </w:rPr>
        <w:t xml:space="preserve"> </w:t>
      </w:r>
      <w:r w:rsidRPr="00531BD3">
        <w:rPr>
          <w:rFonts w:ascii="Century" w:hAnsi="Century" w:cs="Miriam" w:hint="eastAsia"/>
          <w:b/>
          <w:spacing w:val="0"/>
          <w:sz w:val="22"/>
          <w:szCs w:val="24"/>
          <w:rtl/>
        </w:rPr>
        <w:t>חברה</w:t>
      </w:r>
      <w:r w:rsidRPr="00531BD3">
        <w:rPr>
          <w:rFonts w:ascii="Century" w:hAnsi="Century" w:cs="Miriam"/>
          <w:b/>
          <w:spacing w:val="0"/>
          <w:sz w:val="22"/>
          <w:szCs w:val="24"/>
          <w:rtl/>
        </w:rPr>
        <w:t xml:space="preserve"> </w:t>
      </w:r>
      <w:r w:rsidRPr="00531BD3">
        <w:rPr>
          <w:rFonts w:ascii="Century" w:hAnsi="Century" w:cs="Miriam" w:hint="eastAsia"/>
          <w:b/>
          <w:spacing w:val="0"/>
          <w:sz w:val="22"/>
          <w:szCs w:val="24"/>
          <w:rtl/>
        </w:rPr>
        <w:t>לפתוח</w:t>
      </w:r>
      <w:r w:rsidRPr="00531BD3">
        <w:rPr>
          <w:rFonts w:ascii="Century" w:hAnsi="Century" w:cs="Miriam"/>
          <w:b/>
          <w:spacing w:val="0"/>
          <w:sz w:val="22"/>
          <w:szCs w:val="24"/>
          <w:rtl/>
        </w:rPr>
        <w:t xml:space="preserve"> </w:t>
      </w:r>
      <w:r w:rsidRPr="00531BD3">
        <w:rPr>
          <w:rFonts w:ascii="Century" w:hAnsi="Century" w:cs="Miriam" w:hint="eastAsia"/>
          <w:b/>
          <w:spacing w:val="0"/>
          <w:sz w:val="22"/>
          <w:szCs w:val="24"/>
          <w:rtl/>
        </w:rPr>
        <w:t>בע</w:t>
      </w:r>
      <w:r w:rsidRPr="00531BD3">
        <w:rPr>
          <w:rFonts w:ascii="Century" w:hAnsi="Century" w:cs="Miriam"/>
          <w:b/>
          <w:spacing w:val="0"/>
          <w:sz w:val="22"/>
          <w:szCs w:val="24"/>
          <w:rtl/>
        </w:rPr>
        <w:t>"</w:t>
      </w:r>
      <w:r w:rsidRPr="00531BD3">
        <w:rPr>
          <w:rFonts w:ascii="Century" w:hAnsi="Century" w:cs="Miriam" w:hint="eastAsia"/>
          <w:b/>
          <w:spacing w:val="0"/>
          <w:sz w:val="22"/>
          <w:szCs w:val="24"/>
          <w:rtl/>
        </w:rPr>
        <w:t>מ</w:t>
      </w:r>
      <w:r w:rsidRPr="00531BD3">
        <w:rPr>
          <w:rFonts w:ascii="Century" w:hAnsi="Century" w:cs="Miriam"/>
          <w:b/>
          <w:spacing w:val="0"/>
          <w:sz w:val="22"/>
          <w:szCs w:val="24"/>
          <w:rtl/>
        </w:rPr>
        <w:t xml:space="preserve"> (</w:t>
      </w:r>
      <w:r w:rsidRPr="00531BD3">
        <w:rPr>
          <w:rFonts w:ascii="Century" w:hAnsi="Century" w:cs="Miriam" w:hint="eastAsia"/>
          <w:b/>
          <w:spacing w:val="0"/>
          <w:sz w:val="22"/>
          <w:szCs w:val="24"/>
          <w:rtl/>
        </w:rPr>
        <w:t>בפירוק</w:t>
      </w:r>
      <w:r w:rsidRPr="00531BD3">
        <w:rPr>
          <w:rFonts w:ascii="Century" w:hAnsi="Century" w:cs="Miriam"/>
          <w:b/>
          <w:spacing w:val="0"/>
          <w:sz w:val="22"/>
          <w:szCs w:val="24"/>
          <w:rtl/>
        </w:rPr>
        <w:t>)‏</w:t>
      </w:r>
      <w:r w:rsidRPr="00531BD3">
        <w:rPr>
          <w:rFonts w:hint="cs"/>
          <w:rtl/>
        </w:rPr>
        <w:t xml:space="preserve"> (18.4.2023)) בנוגע לשאלה האם קיים חיסיון עורך דין-לקוח בין ועדה מיוחדת לבין יועץ משפטי חיצוני שהיא נועצה עמו:</w:t>
      </w:r>
    </w:p>
    <w:p w:rsidR="008A4DD4" w:rsidRPr="00531BD3" w:rsidRDefault="008A4DD4" w:rsidP="008A4DD4">
      <w:pPr>
        <w:pStyle w:val="Ruller41"/>
        <w:rPr>
          <w:rtl/>
        </w:rPr>
      </w:pPr>
      <w:r w:rsidRPr="00531BD3">
        <w:rPr>
          <w:rFonts w:hint="cs"/>
          <w:rtl/>
        </w:rPr>
        <w:t xml:space="preserve"> </w:t>
      </w:r>
    </w:p>
    <w:p w:rsidR="008A4DD4" w:rsidRPr="00531BD3" w:rsidRDefault="008A4DD4" w:rsidP="008A4DD4">
      <w:pPr>
        <w:pStyle w:val="Ruller5"/>
        <w:rPr>
          <w:rtl/>
        </w:rPr>
      </w:pPr>
      <w:r w:rsidRPr="00531BD3">
        <w:rPr>
          <w:rFonts w:hint="cs"/>
          <w:rtl/>
        </w:rPr>
        <w:t>"</w:t>
      </w:r>
      <w:r w:rsidRPr="00531BD3">
        <w:rPr>
          <w:rFonts w:hint="eastAsia"/>
          <w:rtl/>
        </w:rPr>
        <w:t>ראוי</w:t>
      </w:r>
      <w:r w:rsidRPr="00531BD3">
        <w:rPr>
          <w:rtl/>
        </w:rPr>
        <w:t xml:space="preserve"> </w:t>
      </w:r>
      <w:r w:rsidRPr="00531BD3">
        <w:rPr>
          <w:rFonts w:hint="eastAsia"/>
          <w:rtl/>
        </w:rPr>
        <w:t>להעיר</w:t>
      </w:r>
      <w:r w:rsidRPr="00531BD3">
        <w:rPr>
          <w:rtl/>
        </w:rPr>
        <w:t xml:space="preserve"> </w:t>
      </w:r>
      <w:r w:rsidRPr="00531BD3">
        <w:rPr>
          <w:rFonts w:hint="eastAsia"/>
          <w:rtl/>
        </w:rPr>
        <w:t>בשלב</w:t>
      </w:r>
      <w:r w:rsidRPr="00531BD3">
        <w:rPr>
          <w:rtl/>
        </w:rPr>
        <w:t xml:space="preserve"> </w:t>
      </w:r>
      <w:r w:rsidRPr="00531BD3">
        <w:rPr>
          <w:rFonts w:hint="eastAsia"/>
          <w:rtl/>
        </w:rPr>
        <w:t>זה</w:t>
      </w:r>
      <w:r w:rsidRPr="00531BD3">
        <w:rPr>
          <w:rtl/>
        </w:rPr>
        <w:t xml:space="preserve">, </w:t>
      </w:r>
      <w:r w:rsidRPr="00531BD3">
        <w:rPr>
          <w:rFonts w:hint="eastAsia"/>
          <w:rtl/>
        </w:rPr>
        <w:t>כי</w:t>
      </w:r>
      <w:r w:rsidRPr="00531BD3">
        <w:rPr>
          <w:rtl/>
        </w:rPr>
        <w:t xml:space="preserve"> </w:t>
      </w:r>
      <w:r w:rsidRPr="00531BD3">
        <w:rPr>
          <w:rFonts w:hint="eastAsia"/>
          <w:rtl/>
        </w:rPr>
        <w:t>כפי</w:t>
      </w:r>
      <w:r w:rsidRPr="00531BD3">
        <w:rPr>
          <w:rtl/>
        </w:rPr>
        <w:t xml:space="preserve"> </w:t>
      </w:r>
      <w:r w:rsidRPr="00531BD3">
        <w:rPr>
          <w:rFonts w:hint="eastAsia"/>
          <w:rtl/>
        </w:rPr>
        <w:t>שסבר</w:t>
      </w:r>
      <w:r w:rsidRPr="00531BD3">
        <w:rPr>
          <w:rtl/>
        </w:rPr>
        <w:t xml:space="preserve"> </w:t>
      </w:r>
      <w:r w:rsidRPr="00531BD3">
        <w:rPr>
          <w:rFonts w:hint="eastAsia"/>
          <w:rtl/>
        </w:rPr>
        <w:t>בית</w:t>
      </w:r>
      <w:r w:rsidRPr="00531BD3">
        <w:rPr>
          <w:rtl/>
        </w:rPr>
        <w:t xml:space="preserve"> </w:t>
      </w:r>
      <w:r w:rsidRPr="00531BD3">
        <w:rPr>
          <w:rFonts w:hint="eastAsia"/>
          <w:rtl/>
        </w:rPr>
        <w:t>משפט</w:t>
      </w:r>
      <w:r w:rsidRPr="00531BD3">
        <w:rPr>
          <w:rtl/>
        </w:rPr>
        <w:t xml:space="preserve"> </w:t>
      </w:r>
      <w:r w:rsidRPr="00531BD3">
        <w:rPr>
          <w:rFonts w:hint="eastAsia"/>
          <w:rtl/>
        </w:rPr>
        <w:t>קמא</w:t>
      </w:r>
      <w:r w:rsidRPr="00531BD3">
        <w:rPr>
          <w:rtl/>
        </w:rPr>
        <w:t xml:space="preserve"> </w:t>
      </w:r>
      <w:r w:rsidRPr="00531BD3">
        <w:rPr>
          <w:rFonts w:hint="eastAsia"/>
          <w:rtl/>
        </w:rPr>
        <w:t>סבור</w:t>
      </w:r>
      <w:r w:rsidRPr="00531BD3">
        <w:rPr>
          <w:rtl/>
        </w:rPr>
        <w:t xml:space="preserve"> </w:t>
      </w:r>
      <w:r w:rsidRPr="00531BD3">
        <w:rPr>
          <w:rFonts w:hint="eastAsia"/>
          <w:rtl/>
        </w:rPr>
        <w:t>גם</w:t>
      </w:r>
      <w:r w:rsidRPr="00531BD3">
        <w:rPr>
          <w:rtl/>
        </w:rPr>
        <w:t xml:space="preserve"> </w:t>
      </w:r>
      <w:r w:rsidRPr="00531BD3">
        <w:rPr>
          <w:rFonts w:hint="eastAsia"/>
          <w:rtl/>
        </w:rPr>
        <w:t>אני</w:t>
      </w:r>
      <w:r w:rsidRPr="00531BD3">
        <w:rPr>
          <w:rtl/>
        </w:rPr>
        <w:t xml:space="preserve"> – </w:t>
      </w:r>
      <w:r w:rsidRPr="00531BD3">
        <w:rPr>
          <w:rFonts w:hint="eastAsia"/>
          <w:rtl/>
        </w:rPr>
        <w:t>לעת</w:t>
      </w:r>
      <w:r w:rsidRPr="00531BD3">
        <w:rPr>
          <w:rtl/>
        </w:rPr>
        <w:t xml:space="preserve"> </w:t>
      </w:r>
      <w:r w:rsidRPr="00531BD3">
        <w:rPr>
          <w:rFonts w:hint="eastAsia"/>
          <w:rtl/>
        </w:rPr>
        <w:t>חיותה</w:t>
      </w:r>
      <w:r w:rsidRPr="00531BD3">
        <w:rPr>
          <w:rtl/>
        </w:rPr>
        <w:t xml:space="preserve"> </w:t>
      </w:r>
      <w:r w:rsidRPr="00531BD3">
        <w:rPr>
          <w:rFonts w:hint="eastAsia"/>
          <w:rtl/>
        </w:rPr>
        <w:t>של</w:t>
      </w:r>
      <w:r w:rsidRPr="00531BD3">
        <w:rPr>
          <w:rtl/>
        </w:rPr>
        <w:t xml:space="preserve"> </w:t>
      </w:r>
      <w:r w:rsidRPr="00531BD3">
        <w:rPr>
          <w:rFonts w:hint="eastAsia"/>
          <w:rtl/>
        </w:rPr>
        <w:t>החברה</w:t>
      </w:r>
      <w:r w:rsidRPr="00531BD3">
        <w:rPr>
          <w:rtl/>
        </w:rPr>
        <w:t xml:space="preserve">, </w:t>
      </w:r>
      <w:r w:rsidRPr="00531BD3">
        <w:rPr>
          <w:rFonts w:hint="eastAsia"/>
          <w:rtl/>
        </w:rPr>
        <w:t>ועדה</w:t>
      </w:r>
      <w:r w:rsidRPr="00531BD3">
        <w:rPr>
          <w:rtl/>
        </w:rPr>
        <w:t xml:space="preserve"> </w:t>
      </w:r>
      <w:r w:rsidRPr="00531BD3">
        <w:rPr>
          <w:rFonts w:hint="eastAsia"/>
          <w:rtl/>
        </w:rPr>
        <w:t>בלתי</w:t>
      </w:r>
      <w:r w:rsidRPr="00531BD3">
        <w:rPr>
          <w:rtl/>
        </w:rPr>
        <w:t xml:space="preserve"> </w:t>
      </w:r>
      <w:r w:rsidRPr="00531BD3">
        <w:rPr>
          <w:rFonts w:hint="eastAsia"/>
          <w:rtl/>
        </w:rPr>
        <w:t>תלויה</w:t>
      </w:r>
      <w:r w:rsidRPr="00531BD3">
        <w:rPr>
          <w:rtl/>
        </w:rPr>
        <w:t xml:space="preserve"> </w:t>
      </w:r>
      <w:r w:rsidRPr="00531BD3">
        <w:rPr>
          <w:rFonts w:hint="eastAsia"/>
          <w:rtl/>
        </w:rPr>
        <w:t>זכאית</w:t>
      </w:r>
      <w:r w:rsidRPr="00531BD3">
        <w:rPr>
          <w:rtl/>
        </w:rPr>
        <w:t xml:space="preserve"> </w:t>
      </w:r>
      <w:r w:rsidRPr="00531BD3">
        <w:rPr>
          <w:rFonts w:hint="eastAsia"/>
          <w:rtl/>
        </w:rPr>
        <w:t>להגנת</w:t>
      </w:r>
      <w:r w:rsidRPr="00531BD3">
        <w:rPr>
          <w:rtl/>
        </w:rPr>
        <w:t xml:space="preserve"> </w:t>
      </w:r>
      <w:r w:rsidRPr="00531BD3">
        <w:rPr>
          <w:rFonts w:hint="eastAsia"/>
          <w:rtl/>
        </w:rPr>
        <w:t>החיסיון</w:t>
      </w:r>
      <w:r w:rsidRPr="00531BD3">
        <w:rPr>
          <w:rtl/>
        </w:rPr>
        <w:t xml:space="preserve"> </w:t>
      </w:r>
      <w:r w:rsidRPr="00531BD3">
        <w:rPr>
          <w:rFonts w:hint="eastAsia"/>
          <w:rtl/>
        </w:rPr>
        <w:t>מפני</w:t>
      </w:r>
      <w:r w:rsidRPr="00531BD3">
        <w:rPr>
          <w:rtl/>
        </w:rPr>
        <w:t xml:space="preserve"> </w:t>
      </w:r>
      <w:r w:rsidRPr="00531BD3">
        <w:rPr>
          <w:rFonts w:hint="eastAsia"/>
          <w:rtl/>
        </w:rPr>
        <w:t>החברה</w:t>
      </w:r>
      <w:r w:rsidRPr="00531BD3">
        <w:rPr>
          <w:rtl/>
        </w:rPr>
        <w:t xml:space="preserve"> </w:t>
      </w:r>
      <w:r w:rsidRPr="00531BD3">
        <w:rPr>
          <w:rFonts w:hint="eastAsia"/>
          <w:rtl/>
        </w:rPr>
        <w:t>עצמה</w:t>
      </w:r>
      <w:r w:rsidRPr="00531BD3">
        <w:rPr>
          <w:rtl/>
        </w:rPr>
        <w:t xml:space="preserve">. </w:t>
      </w:r>
      <w:r w:rsidRPr="00531BD3">
        <w:rPr>
          <w:rFonts w:hint="eastAsia"/>
          <w:rtl/>
        </w:rPr>
        <w:t>ודוק</w:t>
      </w:r>
      <w:r w:rsidRPr="00531BD3">
        <w:rPr>
          <w:rtl/>
        </w:rPr>
        <w:t xml:space="preserve">, </w:t>
      </w:r>
      <w:r w:rsidRPr="00531BD3">
        <w:rPr>
          <w:rFonts w:hint="eastAsia"/>
          <w:rtl/>
        </w:rPr>
        <w:t>בהתאם</w:t>
      </w:r>
      <w:r w:rsidRPr="00531BD3">
        <w:rPr>
          <w:rtl/>
        </w:rPr>
        <w:t xml:space="preserve"> </w:t>
      </w:r>
      <w:r w:rsidRPr="00531BD3">
        <w:rPr>
          <w:rFonts w:hint="eastAsia"/>
          <w:rtl/>
        </w:rPr>
        <w:t>לתכליתן</w:t>
      </w:r>
      <w:r w:rsidRPr="00531BD3">
        <w:rPr>
          <w:rtl/>
        </w:rPr>
        <w:t xml:space="preserve"> </w:t>
      </w:r>
      <w:r w:rsidRPr="00531BD3">
        <w:rPr>
          <w:rFonts w:hint="eastAsia"/>
          <w:rtl/>
        </w:rPr>
        <w:t>של</w:t>
      </w:r>
      <w:r w:rsidRPr="00531BD3">
        <w:rPr>
          <w:rtl/>
        </w:rPr>
        <w:t xml:space="preserve"> </w:t>
      </w:r>
      <w:r w:rsidRPr="00531BD3">
        <w:rPr>
          <w:rFonts w:hint="eastAsia"/>
          <w:rtl/>
        </w:rPr>
        <w:t>הוועדות</w:t>
      </w:r>
      <w:r w:rsidRPr="00531BD3">
        <w:rPr>
          <w:rtl/>
        </w:rPr>
        <w:t xml:space="preserve"> </w:t>
      </w:r>
      <w:r w:rsidRPr="00531BD3">
        <w:rPr>
          <w:rFonts w:hint="eastAsia"/>
          <w:rtl/>
        </w:rPr>
        <w:t>הללו</w:t>
      </w:r>
      <w:r w:rsidRPr="00531BD3">
        <w:rPr>
          <w:rtl/>
        </w:rPr>
        <w:t xml:space="preserve">, </w:t>
      </w:r>
      <w:r w:rsidRPr="00531BD3">
        <w:rPr>
          <w:rFonts w:hint="eastAsia"/>
          <w:rtl/>
        </w:rPr>
        <w:t>שבראשן</w:t>
      </w:r>
      <w:r w:rsidRPr="00531BD3">
        <w:rPr>
          <w:rtl/>
        </w:rPr>
        <w:t xml:space="preserve"> </w:t>
      </w:r>
      <w:r w:rsidRPr="00531BD3">
        <w:rPr>
          <w:rFonts w:hint="eastAsia"/>
          <w:rtl/>
        </w:rPr>
        <w:t>הרצון</w:t>
      </w:r>
      <w:r w:rsidRPr="00531BD3">
        <w:rPr>
          <w:rtl/>
        </w:rPr>
        <w:t xml:space="preserve"> </w:t>
      </w:r>
      <w:r w:rsidRPr="00531BD3">
        <w:rPr>
          <w:rFonts w:hint="eastAsia"/>
          <w:rtl/>
        </w:rPr>
        <w:t>להתגבר</w:t>
      </w:r>
      <w:r w:rsidRPr="00531BD3">
        <w:rPr>
          <w:rtl/>
        </w:rPr>
        <w:t xml:space="preserve"> </w:t>
      </w:r>
      <w:r w:rsidRPr="00531BD3">
        <w:rPr>
          <w:rFonts w:hint="eastAsia"/>
          <w:rtl/>
        </w:rPr>
        <w:t>על</w:t>
      </w:r>
      <w:r w:rsidRPr="00531BD3">
        <w:rPr>
          <w:rtl/>
        </w:rPr>
        <w:t xml:space="preserve"> </w:t>
      </w:r>
      <w:r w:rsidRPr="00531BD3">
        <w:rPr>
          <w:rFonts w:hint="eastAsia"/>
          <w:rtl/>
        </w:rPr>
        <w:t>ניגוד</w:t>
      </w:r>
      <w:r w:rsidRPr="00531BD3">
        <w:rPr>
          <w:rtl/>
        </w:rPr>
        <w:t xml:space="preserve"> </w:t>
      </w:r>
      <w:r w:rsidRPr="00531BD3">
        <w:rPr>
          <w:rFonts w:hint="eastAsia"/>
          <w:rtl/>
        </w:rPr>
        <w:t>עניינים</w:t>
      </w:r>
      <w:r w:rsidRPr="00531BD3">
        <w:rPr>
          <w:rtl/>
        </w:rPr>
        <w:t xml:space="preserve"> </w:t>
      </w:r>
      <w:r w:rsidRPr="00531BD3">
        <w:rPr>
          <w:rFonts w:hint="eastAsia"/>
          <w:rtl/>
        </w:rPr>
        <w:t>אפשרי</w:t>
      </w:r>
      <w:r w:rsidRPr="00531BD3">
        <w:rPr>
          <w:rtl/>
        </w:rPr>
        <w:t xml:space="preserve"> </w:t>
      </w:r>
      <w:r w:rsidRPr="00531BD3">
        <w:rPr>
          <w:rFonts w:hint="eastAsia"/>
          <w:rtl/>
        </w:rPr>
        <w:t>בין</w:t>
      </w:r>
      <w:r w:rsidRPr="00531BD3">
        <w:rPr>
          <w:rtl/>
        </w:rPr>
        <w:t xml:space="preserve"> </w:t>
      </w:r>
      <w:r w:rsidRPr="00531BD3">
        <w:rPr>
          <w:rFonts w:hint="eastAsia"/>
          <w:rtl/>
        </w:rPr>
        <w:t>נושאי</w:t>
      </w:r>
      <w:r w:rsidRPr="00531BD3">
        <w:rPr>
          <w:rtl/>
        </w:rPr>
        <w:t xml:space="preserve"> </w:t>
      </w:r>
      <w:r w:rsidRPr="00531BD3">
        <w:rPr>
          <w:rFonts w:hint="eastAsia"/>
          <w:rtl/>
        </w:rPr>
        <w:t>המשרה</w:t>
      </w:r>
      <w:r w:rsidRPr="00531BD3">
        <w:rPr>
          <w:rtl/>
        </w:rPr>
        <w:t xml:space="preserve"> </w:t>
      </w:r>
      <w:r w:rsidRPr="00531BD3">
        <w:rPr>
          <w:rFonts w:hint="eastAsia"/>
          <w:rtl/>
        </w:rPr>
        <w:t>ובעל</w:t>
      </w:r>
      <w:r w:rsidRPr="00531BD3">
        <w:rPr>
          <w:rtl/>
        </w:rPr>
        <w:t xml:space="preserve"> </w:t>
      </w:r>
      <w:r w:rsidRPr="00531BD3">
        <w:rPr>
          <w:rFonts w:hint="eastAsia"/>
          <w:rtl/>
        </w:rPr>
        <w:t>השליטה</w:t>
      </w:r>
      <w:r w:rsidRPr="00531BD3">
        <w:rPr>
          <w:rtl/>
        </w:rPr>
        <w:t xml:space="preserve"> </w:t>
      </w:r>
      <w:r w:rsidRPr="00531BD3">
        <w:rPr>
          <w:rFonts w:hint="eastAsia"/>
          <w:rtl/>
        </w:rPr>
        <w:t>לבין</w:t>
      </w:r>
      <w:r w:rsidRPr="00531BD3">
        <w:rPr>
          <w:rtl/>
        </w:rPr>
        <w:t xml:space="preserve"> </w:t>
      </w:r>
      <w:r w:rsidRPr="00531BD3">
        <w:rPr>
          <w:rFonts w:hint="eastAsia"/>
          <w:rtl/>
        </w:rPr>
        <w:t>אינטרס</w:t>
      </w:r>
      <w:r w:rsidRPr="00531BD3">
        <w:rPr>
          <w:rtl/>
        </w:rPr>
        <w:t xml:space="preserve"> </w:t>
      </w:r>
      <w:r w:rsidRPr="00531BD3">
        <w:rPr>
          <w:rFonts w:hint="eastAsia"/>
          <w:rtl/>
        </w:rPr>
        <w:t>החברה</w:t>
      </w:r>
      <w:r w:rsidRPr="00531BD3">
        <w:rPr>
          <w:rtl/>
        </w:rPr>
        <w:t xml:space="preserve"> </w:t>
      </w:r>
      <w:r w:rsidRPr="00531BD3">
        <w:rPr>
          <w:rFonts w:hint="eastAsia"/>
          <w:rtl/>
        </w:rPr>
        <w:t>ושאר</w:t>
      </w:r>
      <w:r w:rsidRPr="00531BD3">
        <w:rPr>
          <w:rtl/>
        </w:rPr>
        <w:t xml:space="preserve"> </w:t>
      </w:r>
      <w:r w:rsidRPr="00531BD3">
        <w:rPr>
          <w:rFonts w:hint="eastAsia"/>
          <w:rtl/>
        </w:rPr>
        <w:t>בעלי</w:t>
      </w:r>
      <w:r w:rsidRPr="00531BD3">
        <w:rPr>
          <w:rtl/>
        </w:rPr>
        <w:t xml:space="preserve"> </w:t>
      </w:r>
      <w:r w:rsidRPr="00531BD3">
        <w:rPr>
          <w:rFonts w:hint="eastAsia"/>
          <w:rtl/>
        </w:rPr>
        <w:t>מניותיה</w:t>
      </w:r>
      <w:r w:rsidRPr="00531BD3">
        <w:rPr>
          <w:rtl/>
        </w:rPr>
        <w:t xml:space="preserve">, </w:t>
      </w:r>
      <w:r w:rsidRPr="00531BD3">
        <w:rPr>
          <w:rFonts w:hint="eastAsia"/>
          <w:rtl/>
        </w:rPr>
        <w:t>עת</w:t>
      </w:r>
      <w:r w:rsidRPr="00531BD3">
        <w:rPr>
          <w:rtl/>
        </w:rPr>
        <w:t xml:space="preserve"> </w:t>
      </w:r>
      <w:r w:rsidRPr="00531BD3">
        <w:rPr>
          <w:rFonts w:hint="eastAsia"/>
          <w:rtl/>
        </w:rPr>
        <w:t>חיותה</w:t>
      </w:r>
      <w:r w:rsidRPr="00531BD3">
        <w:rPr>
          <w:rtl/>
        </w:rPr>
        <w:t xml:space="preserve"> </w:t>
      </w:r>
      <w:r w:rsidRPr="00531BD3">
        <w:rPr>
          <w:rFonts w:hint="eastAsia"/>
          <w:rtl/>
        </w:rPr>
        <w:t>של</w:t>
      </w:r>
      <w:r w:rsidRPr="00531BD3">
        <w:rPr>
          <w:rtl/>
        </w:rPr>
        <w:t xml:space="preserve"> </w:t>
      </w:r>
      <w:r w:rsidRPr="00531BD3">
        <w:rPr>
          <w:rFonts w:hint="eastAsia"/>
          <w:rtl/>
        </w:rPr>
        <w:t>החברה</w:t>
      </w:r>
      <w:r w:rsidRPr="00531BD3">
        <w:rPr>
          <w:rtl/>
        </w:rPr>
        <w:t xml:space="preserve"> – </w:t>
      </w:r>
      <w:r w:rsidRPr="00531BD3">
        <w:rPr>
          <w:rFonts w:hint="eastAsia"/>
          <w:rtl/>
        </w:rPr>
        <w:t>יש</w:t>
      </w:r>
      <w:r w:rsidRPr="00531BD3">
        <w:rPr>
          <w:rtl/>
        </w:rPr>
        <w:t xml:space="preserve"> </w:t>
      </w:r>
      <w:r w:rsidRPr="00531BD3">
        <w:rPr>
          <w:rFonts w:hint="eastAsia"/>
          <w:rtl/>
        </w:rPr>
        <w:t>לשמר</w:t>
      </w:r>
      <w:r w:rsidRPr="00531BD3">
        <w:rPr>
          <w:rtl/>
        </w:rPr>
        <w:t xml:space="preserve"> </w:t>
      </w:r>
      <w:r w:rsidRPr="00531BD3">
        <w:rPr>
          <w:rFonts w:hint="eastAsia"/>
          <w:rtl/>
        </w:rPr>
        <w:t>חיץ</w:t>
      </w:r>
      <w:r w:rsidRPr="00531BD3">
        <w:rPr>
          <w:rtl/>
        </w:rPr>
        <w:t xml:space="preserve"> </w:t>
      </w:r>
      <w:r w:rsidRPr="00531BD3">
        <w:rPr>
          <w:rFonts w:hint="eastAsia"/>
          <w:rtl/>
        </w:rPr>
        <w:t>ברור</w:t>
      </w:r>
      <w:r w:rsidRPr="00531BD3">
        <w:rPr>
          <w:rtl/>
        </w:rPr>
        <w:t xml:space="preserve"> </w:t>
      </w:r>
      <w:r w:rsidRPr="00531BD3">
        <w:rPr>
          <w:rFonts w:hint="eastAsia"/>
          <w:rtl/>
        </w:rPr>
        <w:t>ושריר</w:t>
      </w:r>
      <w:r w:rsidRPr="00531BD3">
        <w:rPr>
          <w:rtl/>
        </w:rPr>
        <w:t xml:space="preserve"> </w:t>
      </w:r>
      <w:r w:rsidRPr="00531BD3">
        <w:rPr>
          <w:rFonts w:hint="eastAsia"/>
          <w:rtl/>
        </w:rPr>
        <w:t>בין</w:t>
      </w:r>
      <w:r w:rsidRPr="00531BD3">
        <w:rPr>
          <w:rtl/>
        </w:rPr>
        <w:t xml:space="preserve"> </w:t>
      </w:r>
      <w:r w:rsidRPr="00531BD3">
        <w:rPr>
          <w:rFonts w:hint="eastAsia"/>
          <w:rtl/>
        </w:rPr>
        <w:t>תוצריה</w:t>
      </w:r>
      <w:r w:rsidRPr="00531BD3">
        <w:rPr>
          <w:rtl/>
        </w:rPr>
        <w:t xml:space="preserve"> </w:t>
      </w:r>
      <w:r w:rsidRPr="00531BD3">
        <w:rPr>
          <w:rFonts w:hint="eastAsia"/>
          <w:rtl/>
        </w:rPr>
        <w:lastRenderedPageBreak/>
        <w:t>הפנימיים</w:t>
      </w:r>
      <w:r w:rsidRPr="00531BD3">
        <w:rPr>
          <w:rtl/>
        </w:rPr>
        <w:t xml:space="preserve"> </w:t>
      </w:r>
      <w:r w:rsidRPr="00531BD3">
        <w:rPr>
          <w:rFonts w:hint="eastAsia"/>
          <w:rtl/>
        </w:rPr>
        <w:t>לבין</w:t>
      </w:r>
      <w:r w:rsidRPr="00531BD3">
        <w:rPr>
          <w:rtl/>
        </w:rPr>
        <w:t xml:space="preserve"> </w:t>
      </w:r>
      <w:r w:rsidRPr="00531BD3">
        <w:rPr>
          <w:rFonts w:hint="eastAsia"/>
          <w:rtl/>
        </w:rPr>
        <w:t>יתר</w:t>
      </w:r>
      <w:r w:rsidRPr="00531BD3">
        <w:rPr>
          <w:rtl/>
        </w:rPr>
        <w:t xml:space="preserve"> </w:t>
      </w:r>
      <w:r w:rsidRPr="00531BD3">
        <w:rPr>
          <w:rFonts w:hint="eastAsia"/>
          <w:rtl/>
        </w:rPr>
        <w:t>נושאי</w:t>
      </w:r>
      <w:r w:rsidRPr="00531BD3">
        <w:rPr>
          <w:rtl/>
        </w:rPr>
        <w:t xml:space="preserve"> </w:t>
      </w:r>
      <w:r w:rsidRPr="00531BD3">
        <w:rPr>
          <w:rFonts w:hint="eastAsia"/>
          <w:rtl/>
        </w:rPr>
        <w:t>המשרה</w:t>
      </w:r>
      <w:r w:rsidRPr="00531BD3">
        <w:rPr>
          <w:rtl/>
        </w:rPr>
        <w:t xml:space="preserve">, </w:t>
      </w:r>
      <w:r w:rsidRPr="00531BD3">
        <w:rPr>
          <w:rFonts w:hint="eastAsia"/>
          <w:rtl/>
        </w:rPr>
        <w:t>לרבות</w:t>
      </w:r>
      <w:r w:rsidRPr="00531BD3">
        <w:rPr>
          <w:rtl/>
        </w:rPr>
        <w:t xml:space="preserve"> </w:t>
      </w:r>
      <w:r w:rsidRPr="00531BD3">
        <w:rPr>
          <w:rFonts w:hint="eastAsia"/>
          <w:rtl/>
        </w:rPr>
        <w:t>יתר</w:t>
      </w:r>
      <w:r w:rsidRPr="00531BD3">
        <w:rPr>
          <w:rtl/>
        </w:rPr>
        <w:t xml:space="preserve"> </w:t>
      </w:r>
      <w:r w:rsidRPr="00531BD3">
        <w:rPr>
          <w:rFonts w:hint="eastAsia"/>
          <w:rtl/>
        </w:rPr>
        <w:t>חברי</w:t>
      </w:r>
      <w:r w:rsidRPr="00531BD3">
        <w:rPr>
          <w:rtl/>
        </w:rPr>
        <w:t xml:space="preserve"> </w:t>
      </w:r>
      <w:r w:rsidRPr="00531BD3">
        <w:rPr>
          <w:rFonts w:hint="eastAsia"/>
          <w:rtl/>
        </w:rPr>
        <w:t>הדירקטוריון</w:t>
      </w:r>
      <w:r w:rsidRPr="00531BD3">
        <w:rPr>
          <w:rtl/>
        </w:rPr>
        <w:t xml:space="preserve"> </w:t>
      </w:r>
      <w:r w:rsidRPr="00531BD3">
        <w:rPr>
          <w:rFonts w:hint="eastAsia"/>
          <w:rtl/>
        </w:rPr>
        <w:t>שאינם</w:t>
      </w:r>
      <w:r w:rsidRPr="00531BD3">
        <w:rPr>
          <w:rtl/>
        </w:rPr>
        <w:t xml:space="preserve"> </w:t>
      </w:r>
      <w:r w:rsidRPr="00531BD3">
        <w:rPr>
          <w:rFonts w:hint="eastAsia"/>
          <w:rtl/>
        </w:rPr>
        <w:t>מכהנים</w:t>
      </w:r>
      <w:r w:rsidRPr="00531BD3">
        <w:rPr>
          <w:rtl/>
        </w:rPr>
        <w:t xml:space="preserve"> </w:t>
      </w:r>
      <w:r w:rsidRPr="00531BD3">
        <w:rPr>
          <w:rFonts w:hint="eastAsia"/>
          <w:rtl/>
        </w:rPr>
        <w:t>בוועדות</w:t>
      </w:r>
      <w:r w:rsidRPr="00531BD3">
        <w:rPr>
          <w:rtl/>
        </w:rPr>
        <w:t xml:space="preserve"> </w:t>
      </w:r>
      <w:r w:rsidRPr="00531BD3">
        <w:rPr>
          <w:rFonts w:hint="eastAsia"/>
          <w:rtl/>
        </w:rPr>
        <w:t>הללו</w:t>
      </w:r>
      <w:r w:rsidRPr="00531BD3">
        <w:rPr>
          <w:rtl/>
        </w:rPr>
        <w:t xml:space="preserve">. </w:t>
      </w:r>
      <w:r w:rsidRPr="00531BD3">
        <w:rPr>
          <w:rFonts w:hint="eastAsia"/>
          <w:rtl/>
        </w:rPr>
        <w:t>על</w:t>
      </w:r>
      <w:r w:rsidRPr="00531BD3">
        <w:rPr>
          <w:rtl/>
        </w:rPr>
        <w:t>-</w:t>
      </w:r>
      <w:r w:rsidRPr="00531BD3">
        <w:rPr>
          <w:rFonts w:hint="eastAsia"/>
          <w:rtl/>
        </w:rPr>
        <w:t>כן</w:t>
      </w:r>
      <w:r w:rsidRPr="00531BD3">
        <w:rPr>
          <w:rtl/>
        </w:rPr>
        <w:t xml:space="preserve">, </w:t>
      </w:r>
      <w:r w:rsidRPr="00531BD3">
        <w:rPr>
          <w:rFonts w:hint="eastAsia"/>
          <w:rtl/>
        </w:rPr>
        <w:t>אין</w:t>
      </w:r>
      <w:r w:rsidRPr="00531BD3">
        <w:rPr>
          <w:rtl/>
        </w:rPr>
        <w:t xml:space="preserve"> </w:t>
      </w:r>
      <w:r w:rsidRPr="00531BD3">
        <w:rPr>
          <w:rFonts w:hint="eastAsia"/>
          <w:rtl/>
        </w:rPr>
        <w:t>לקבל</w:t>
      </w:r>
      <w:r w:rsidRPr="00531BD3">
        <w:rPr>
          <w:rtl/>
        </w:rPr>
        <w:t xml:space="preserve"> </w:t>
      </w:r>
      <w:r w:rsidRPr="00531BD3">
        <w:rPr>
          <w:rFonts w:hint="eastAsia"/>
          <w:rtl/>
        </w:rPr>
        <w:t>טענה</w:t>
      </w:r>
      <w:r w:rsidRPr="00531BD3">
        <w:rPr>
          <w:rtl/>
        </w:rPr>
        <w:t xml:space="preserve"> </w:t>
      </w:r>
      <w:r w:rsidRPr="00531BD3">
        <w:rPr>
          <w:rFonts w:hint="eastAsia"/>
          <w:rtl/>
        </w:rPr>
        <w:t>כי</w:t>
      </w:r>
      <w:r w:rsidRPr="00531BD3">
        <w:rPr>
          <w:rtl/>
        </w:rPr>
        <w:t xml:space="preserve"> </w:t>
      </w:r>
      <w:r w:rsidRPr="00531BD3">
        <w:rPr>
          <w:rFonts w:hint="eastAsia"/>
          <w:rtl/>
        </w:rPr>
        <w:t>החברה</w:t>
      </w:r>
      <w:r w:rsidRPr="00531BD3">
        <w:rPr>
          <w:rtl/>
        </w:rPr>
        <w:t xml:space="preserve"> </w:t>
      </w:r>
      <w:r w:rsidRPr="00531BD3">
        <w:rPr>
          <w:rFonts w:hint="eastAsia"/>
          <w:rtl/>
        </w:rPr>
        <w:t>היא</w:t>
      </w:r>
      <w:r w:rsidRPr="00531BD3">
        <w:rPr>
          <w:rtl/>
        </w:rPr>
        <w:t xml:space="preserve"> </w:t>
      </w:r>
      <w:r w:rsidRPr="00531BD3">
        <w:rPr>
          <w:rFonts w:hint="eastAsia"/>
          <w:rtl/>
        </w:rPr>
        <w:t>בעלת</w:t>
      </w:r>
      <w:r w:rsidRPr="00531BD3">
        <w:rPr>
          <w:rtl/>
        </w:rPr>
        <w:t xml:space="preserve"> </w:t>
      </w:r>
      <w:r w:rsidRPr="00531BD3">
        <w:rPr>
          <w:rFonts w:hint="eastAsia"/>
          <w:rtl/>
        </w:rPr>
        <w:t>חיסיון</w:t>
      </w:r>
      <w:r w:rsidRPr="00531BD3">
        <w:rPr>
          <w:rtl/>
        </w:rPr>
        <w:t xml:space="preserve"> </w:t>
      </w:r>
      <w:r w:rsidRPr="00531BD3">
        <w:rPr>
          <w:rFonts w:hint="eastAsia"/>
          <w:rtl/>
        </w:rPr>
        <w:t>עורך</w:t>
      </w:r>
      <w:r w:rsidRPr="00531BD3">
        <w:rPr>
          <w:rtl/>
        </w:rPr>
        <w:t xml:space="preserve"> </w:t>
      </w:r>
      <w:r w:rsidRPr="00531BD3">
        <w:rPr>
          <w:rFonts w:hint="eastAsia"/>
          <w:rtl/>
        </w:rPr>
        <w:t>דין</w:t>
      </w:r>
      <w:r w:rsidRPr="00531BD3">
        <w:rPr>
          <w:rtl/>
        </w:rPr>
        <w:t>-</w:t>
      </w:r>
      <w:r w:rsidRPr="00531BD3">
        <w:rPr>
          <w:rFonts w:hint="eastAsia"/>
          <w:rtl/>
        </w:rPr>
        <w:t>לקוח</w:t>
      </w:r>
      <w:r w:rsidRPr="00531BD3">
        <w:rPr>
          <w:rtl/>
        </w:rPr>
        <w:t xml:space="preserve"> </w:t>
      </w:r>
      <w:r w:rsidRPr="00531BD3">
        <w:rPr>
          <w:rFonts w:hint="eastAsia"/>
          <w:rtl/>
        </w:rPr>
        <w:t>במקרים</w:t>
      </w:r>
      <w:r w:rsidRPr="00531BD3">
        <w:rPr>
          <w:rtl/>
        </w:rPr>
        <w:t xml:space="preserve"> </w:t>
      </w:r>
      <w:r w:rsidRPr="00531BD3">
        <w:rPr>
          <w:rFonts w:hint="eastAsia"/>
          <w:rtl/>
        </w:rPr>
        <w:t>בהם</w:t>
      </w:r>
      <w:r w:rsidRPr="00531BD3">
        <w:rPr>
          <w:rtl/>
        </w:rPr>
        <w:t xml:space="preserve"> </w:t>
      </w:r>
      <w:r w:rsidRPr="00531BD3">
        <w:rPr>
          <w:rFonts w:hint="eastAsia"/>
          <w:rtl/>
        </w:rPr>
        <w:t>הוועדות</w:t>
      </w:r>
      <w:r w:rsidRPr="00531BD3">
        <w:rPr>
          <w:rtl/>
        </w:rPr>
        <w:t xml:space="preserve">, </w:t>
      </w:r>
      <w:r w:rsidRPr="00531BD3">
        <w:rPr>
          <w:rFonts w:hint="eastAsia"/>
          <w:rtl/>
        </w:rPr>
        <w:t>כאורגן</w:t>
      </w:r>
      <w:r w:rsidRPr="00531BD3">
        <w:rPr>
          <w:rtl/>
        </w:rPr>
        <w:t xml:space="preserve"> </w:t>
      </w:r>
      <w:r w:rsidRPr="00531BD3">
        <w:rPr>
          <w:rFonts w:hint="eastAsia"/>
          <w:rtl/>
        </w:rPr>
        <w:t>של</w:t>
      </w:r>
      <w:r w:rsidRPr="00531BD3">
        <w:rPr>
          <w:rtl/>
        </w:rPr>
        <w:t xml:space="preserve"> </w:t>
      </w:r>
      <w:r w:rsidRPr="00531BD3">
        <w:rPr>
          <w:rFonts w:hint="eastAsia"/>
          <w:rtl/>
        </w:rPr>
        <w:t>החברה</w:t>
      </w:r>
      <w:r w:rsidRPr="00531BD3">
        <w:rPr>
          <w:rtl/>
        </w:rPr>
        <w:t xml:space="preserve">, </w:t>
      </w:r>
      <w:r w:rsidRPr="00531BD3">
        <w:rPr>
          <w:rFonts w:hint="eastAsia"/>
          <w:rtl/>
        </w:rPr>
        <w:t>נועצות</w:t>
      </w:r>
      <w:r w:rsidRPr="00531BD3">
        <w:rPr>
          <w:rtl/>
        </w:rPr>
        <w:t xml:space="preserve"> </w:t>
      </w:r>
      <w:r w:rsidRPr="00531BD3">
        <w:rPr>
          <w:rFonts w:hint="eastAsia"/>
          <w:rtl/>
        </w:rPr>
        <w:t>ביועץ</w:t>
      </w:r>
      <w:r w:rsidRPr="00531BD3">
        <w:rPr>
          <w:rtl/>
        </w:rPr>
        <w:t xml:space="preserve"> </w:t>
      </w:r>
      <w:r w:rsidRPr="00531BD3">
        <w:rPr>
          <w:rFonts w:hint="eastAsia"/>
          <w:rtl/>
        </w:rPr>
        <w:t>משפטי</w:t>
      </w:r>
      <w:r w:rsidRPr="00531BD3">
        <w:rPr>
          <w:rtl/>
        </w:rPr>
        <w:t xml:space="preserve"> </w:t>
      </w:r>
      <w:r w:rsidRPr="00531BD3">
        <w:rPr>
          <w:rFonts w:hint="eastAsia"/>
          <w:rtl/>
        </w:rPr>
        <w:t>חיצוני</w:t>
      </w:r>
      <w:r w:rsidRPr="00531BD3">
        <w:rPr>
          <w:rtl/>
        </w:rPr>
        <w:t xml:space="preserve">. </w:t>
      </w:r>
      <w:r w:rsidRPr="00531BD3">
        <w:rPr>
          <w:rFonts w:hint="cs"/>
          <w:rtl/>
        </w:rPr>
        <w:t xml:space="preserve">[...] </w:t>
      </w:r>
      <w:r w:rsidRPr="00531BD3">
        <w:rPr>
          <w:rFonts w:hint="eastAsia"/>
          <w:rtl/>
        </w:rPr>
        <w:t>ועדת</w:t>
      </w:r>
      <w:r w:rsidRPr="00531BD3">
        <w:rPr>
          <w:rtl/>
        </w:rPr>
        <w:t xml:space="preserve"> </w:t>
      </w:r>
      <w:r w:rsidRPr="00531BD3">
        <w:rPr>
          <w:rFonts w:hint="eastAsia"/>
          <w:rtl/>
        </w:rPr>
        <w:t>הביקורת</w:t>
      </w:r>
      <w:r w:rsidRPr="00531BD3">
        <w:rPr>
          <w:rtl/>
        </w:rPr>
        <w:t xml:space="preserve"> </w:t>
      </w:r>
      <w:r w:rsidRPr="00531BD3">
        <w:rPr>
          <w:rFonts w:hint="eastAsia"/>
          <w:rtl/>
        </w:rPr>
        <w:t>ממלאת</w:t>
      </w:r>
      <w:r w:rsidRPr="00531BD3">
        <w:rPr>
          <w:rtl/>
        </w:rPr>
        <w:t xml:space="preserve"> </w:t>
      </w:r>
      <w:r w:rsidRPr="00531BD3">
        <w:rPr>
          <w:rFonts w:hint="eastAsia"/>
          <w:rtl/>
        </w:rPr>
        <w:t>תפקיד</w:t>
      </w:r>
      <w:r w:rsidRPr="00531BD3">
        <w:rPr>
          <w:rtl/>
        </w:rPr>
        <w:t xml:space="preserve"> </w:t>
      </w:r>
      <w:r w:rsidRPr="00531BD3">
        <w:rPr>
          <w:rFonts w:hint="eastAsia"/>
          <w:rtl/>
        </w:rPr>
        <w:t>קריטי</w:t>
      </w:r>
      <w:r w:rsidRPr="00531BD3">
        <w:rPr>
          <w:rtl/>
        </w:rPr>
        <w:t xml:space="preserve"> </w:t>
      </w:r>
      <w:r w:rsidRPr="00531BD3">
        <w:rPr>
          <w:rFonts w:hint="eastAsia"/>
          <w:rtl/>
        </w:rPr>
        <w:t>בפיקוח</w:t>
      </w:r>
      <w:r w:rsidRPr="00531BD3">
        <w:rPr>
          <w:rtl/>
        </w:rPr>
        <w:t xml:space="preserve"> </w:t>
      </w:r>
      <w:r w:rsidRPr="00531BD3">
        <w:rPr>
          <w:rFonts w:hint="eastAsia"/>
          <w:rtl/>
        </w:rPr>
        <w:t>אחר</w:t>
      </w:r>
      <w:r w:rsidRPr="00531BD3">
        <w:rPr>
          <w:rtl/>
        </w:rPr>
        <w:t xml:space="preserve"> </w:t>
      </w:r>
      <w:r w:rsidRPr="00531BD3">
        <w:rPr>
          <w:rFonts w:hint="eastAsia"/>
          <w:rtl/>
        </w:rPr>
        <w:t>הנהלת</w:t>
      </w:r>
      <w:r w:rsidRPr="00531BD3">
        <w:rPr>
          <w:rtl/>
        </w:rPr>
        <w:t xml:space="preserve"> </w:t>
      </w:r>
      <w:r w:rsidRPr="00531BD3">
        <w:rPr>
          <w:rFonts w:hint="eastAsia"/>
          <w:rtl/>
        </w:rPr>
        <w:t>החברה</w:t>
      </w:r>
      <w:r w:rsidRPr="00531BD3">
        <w:rPr>
          <w:rtl/>
        </w:rPr>
        <w:t xml:space="preserve">. </w:t>
      </w:r>
      <w:r w:rsidRPr="00531BD3">
        <w:rPr>
          <w:rFonts w:hint="eastAsia"/>
          <w:rtl/>
        </w:rPr>
        <w:t>לפיכך</w:t>
      </w:r>
      <w:r w:rsidRPr="00531BD3">
        <w:rPr>
          <w:rtl/>
        </w:rPr>
        <w:t xml:space="preserve">, </w:t>
      </w:r>
      <w:r w:rsidRPr="00531BD3">
        <w:rPr>
          <w:rFonts w:hint="eastAsia"/>
          <w:rtl/>
        </w:rPr>
        <w:t>ללא</w:t>
      </w:r>
      <w:r w:rsidRPr="00531BD3">
        <w:rPr>
          <w:rtl/>
        </w:rPr>
        <w:t xml:space="preserve"> </w:t>
      </w:r>
      <w:r w:rsidRPr="00531BD3">
        <w:rPr>
          <w:rFonts w:hint="eastAsia"/>
          <w:rtl/>
        </w:rPr>
        <w:t>חיסיון</w:t>
      </w:r>
      <w:r w:rsidRPr="00531BD3">
        <w:rPr>
          <w:rtl/>
        </w:rPr>
        <w:t xml:space="preserve"> </w:t>
      </w:r>
      <w:r w:rsidRPr="00531BD3">
        <w:rPr>
          <w:rFonts w:hint="eastAsia"/>
          <w:rtl/>
        </w:rPr>
        <w:t>זה</w:t>
      </w:r>
      <w:r w:rsidRPr="00531BD3">
        <w:rPr>
          <w:rtl/>
        </w:rPr>
        <w:t xml:space="preserve">, </w:t>
      </w:r>
      <w:r w:rsidRPr="00531BD3">
        <w:rPr>
          <w:rFonts w:hint="eastAsia"/>
          <w:rtl/>
        </w:rPr>
        <w:t>הוועדות</w:t>
      </w:r>
      <w:r w:rsidRPr="00531BD3">
        <w:rPr>
          <w:rtl/>
        </w:rPr>
        <w:t xml:space="preserve"> </w:t>
      </w:r>
      <w:r w:rsidRPr="00531BD3">
        <w:rPr>
          <w:rFonts w:hint="eastAsia"/>
          <w:rtl/>
        </w:rPr>
        <w:t>לא</w:t>
      </w:r>
      <w:r w:rsidRPr="00531BD3">
        <w:rPr>
          <w:rtl/>
        </w:rPr>
        <w:t xml:space="preserve"> </w:t>
      </w:r>
      <w:r w:rsidRPr="00531BD3">
        <w:rPr>
          <w:rFonts w:hint="eastAsia"/>
          <w:rtl/>
        </w:rPr>
        <w:t>יוכלו</w:t>
      </w:r>
      <w:r w:rsidRPr="00531BD3">
        <w:rPr>
          <w:rtl/>
        </w:rPr>
        <w:t xml:space="preserve"> </w:t>
      </w:r>
      <w:r w:rsidRPr="00531BD3">
        <w:rPr>
          <w:rFonts w:hint="eastAsia"/>
          <w:rtl/>
        </w:rPr>
        <w:t>לספק</w:t>
      </w:r>
      <w:r w:rsidRPr="00531BD3">
        <w:rPr>
          <w:rtl/>
        </w:rPr>
        <w:t xml:space="preserve"> </w:t>
      </w:r>
      <w:r w:rsidRPr="00531BD3">
        <w:rPr>
          <w:rFonts w:hint="eastAsia"/>
          <w:rtl/>
        </w:rPr>
        <w:t>פיקוח</w:t>
      </w:r>
      <w:r w:rsidRPr="00531BD3">
        <w:rPr>
          <w:rtl/>
        </w:rPr>
        <w:t xml:space="preserve"> </w:t>
      </w:r>
      <w:r w:rsidRPr="00531BD3">
        <w:rPr>
          <w:rFonts w:hint="eastAsia"/>
          <w:rtl/>
        </w:rPr>
        <w:t>בלתי</w:t>
      </w:r>
      <w:r w:rsidRPr="00531BD3">
        <w:rPr>
          <w:rtl/>
        </w:rPr>
        <w:t xml:space="preserve"> </w:t>
      </w:r>
      <w:r w:rsidRPr="00531BD3">
        <w:rPr>
          <w:rFonts w:hint="eastAsia"/>
          <w:rtl/>
        </w:rPr>
        <w:t>תלוי</w:t>
      </w:r>
      <w:r w:rsidRPr="00531BD3">
        <w:rPr>
          <w:rtl/>
        </w:rPr>
        <w:t xml:space="preserve"> </w:t>
      </w:r>
      <w:r w:rsidRPr="00531BD3">
        <w:rPr>
          <w:rFonts w:hint="eastAsia"/>
          <w:rtl/>
        </w:rPr>
        <w:t>ועצמאי</w:t>
      </w:r>
      <w:r w:rsidRPr="00531BD3">
        <w:rPr>
          <w:rtl/>
        </w:rPr>
        <w:t xml:space="preserve"> </w:t>
      </w:r>
      <w:r w:rsidRPr="00531BD3">
        <w:rPr>
          <w:rFonts w:hint="eastAsia"/>
          <w:rtl/>
        </w:rPr>
        <w:t>כאמור</w:t>
      </w:r>
      <w:r w:rsidRPr="00531BD3">
        <w:rPr>
          <w:rtl/>
        </w:rPr>
        <w:t xml:space="preserve">, </w:t>
      </w:r>
      <w:r w:rsidRPr="00531BD3">
        <w:rPr>
          <w:rFonts w:hint="eastAsia"/>
          <w:rtl/>
        </w:rPr>
        <w:t>המתבסס</w:t>
      </w:r>
      <w:r w:rsidRPr="00531BD3">
        <w:rPr>
          <w:rtl/>
        </w:rPr>
        <w:t xml:space="preserve"> </w:t>
      </w:r>
      <w:r w:rsidRPr="00531BD3">
        <w:rPr>
          <w:rFonts w:hint="eastAsia"/>
          <w:rtl/>
        </w:rPr>
        <w:t>על</w:t>
      </w:r>
      <w:r w:rsidRPr="00531BD3">
        <w:rPr>
          <w:rtl/>
        </w:rPr>
        <w:t xml:space="preserve"> </w:t>
      </w:r>
      <w:r w:rsidRPr="00531BD3">
        <w:rPr>
          <w:rFonts w:hint="eastAsia"/>
          <w:rtl/>
        </w:rPr>
        <w:t>קיומו</w:t>
      </w:r>
      <w:r w:rsidRPr="00531BD3">
        <w:rPr>
          <w:rtl/>
        </w:rPr>
        <w:t xml:space="preserve"> </w:t>
      </w:r>
      <w:r w:rsidRPr="00531BD3">
        <w:rPr>
          <w:rFonts w:hint="eastAsia"/>
          <w:rtl/>
        </w:rPr>
        <w:t>של</w:t>
      </w:r>
      <w:r w:rsidRPr="00531BD3">
        <w:rPr>
          <w:rtl/>
        </w:rPr>
        <w:t xml:space="preserve"> </w:t>
      </w:r>
      <w:r w:rsidRPr="00531BD3">
        <w:rPr>
          <w:rFonts w:hint="eastAsia"/>
          <w:rtl/>
        </w:rPr>
        <w:t>פורום</w:t>
      </w:r>
      <w:r w:rsidRPr="00531BD3">
        <w:rPr>
          <w:rtl/>
        </w:rPr>
        <w:t xml:space="preserve"> </w:t>
      </w:r>
      <w:r w:rsidRPr="00531BD3">
        <w:rPr>
          <w:rFonts w:hint="eastAsia"/>
          <w:rtl/>
        </w:rPr>
        <w:t>נפרד</w:t>
      </w:r>
      <w:r w:rsidRPr="00531BD3">
        <w:rPr>
          <w:rtl/>
        </w:rPr>
        <w:t xml:space="preserve"> </w:t>
      </w:r>
      <w:r w:rsidRPr="00531BD3">
        <w:rPr>
          <w:rFonts w:hint="eastAsia"/>
          <w:rtl/>
        </w:rPr>
        <w:t>מההנהלה</w:t>
      </w:r>
      <w:r w:rsidRPr="00531BD3">
        <w:rPr>
          <w:rtl/>
        </w:rPr>
        <w:t xml:space="preserve"> </w:t>
      </w:r>
      <w:r w:rsidRPr="00531BD3">
        <w:rPr>
          <w:rFonts w:hint="eastAsia"/>
          <w:rtl/>
        </w:rPr>
        <w:t>בו</w:t>
      </w:r>
      <w:r w:rsidRPr="00531BD3">
        <w:rPr>
          <w:rtl/>
        </w:rPr>
        <w:t xml:space="preserve"> </w:t>
      </w:r>
      <w:r w:rsidRPr="00531BD3">
        <w:rPr>
          <w:rFonts w:hint="eastAsia"/>
          <w:rtl/>
        </w:rPr>
        <w:t>הגורמים</w:t>
      </w:r>
      <w:r w:rsidRPr="00531BD3">
        <w:rPr>
          <w:rtl/>
        </w:rPr>
        <w:t xml:space="preserve"> </w:t>
      </w:r>
      <w:r w:rsidRPr="00531BD3">
        <w:rPr>
          <w:rFonts w:hint="eastAsia"/>
          <w:rtl/>
        </w:rPr>
        <w:t>המקצועיים</w:t>
      </w:r>
      <w:r w:rsidRPr="00531BD3">
        <w:rPr>
          <w:rtl/>
        </w:rPr>
        <w:t xml:space="preserve"> </w:t>
      </w:r>
      <w:r w:rsidRPr="00531BD3">
        <w:rPr>
          <w:rFonts w:hint="eastAsia"/>
          <w:rtl/>
        </w:rPr>
        <w:t>ובעלי</w:t>
      </w:r>
      <w:r w:rsidRPr="00531BD3">
        <w:rPr>
          <w:rtl/>
        </w:rPr>
        <w:t xml:space="preserve"> </w:t>
      </w:r>
      <w:r w:rsidRPr="00531BD3">
        <w:rPr>
          <w:rFonts w:hint="eastAsia"/>
          <w:rtl/>
        </w:rPr>
        <w:t>עניין</w:t>
      </w:r>
      <w:r w:rsidRPr="00531BD3">
        <w:rPr>
          <w:rtl/>
        </w:rPr>
        <w:t xml:space="preserve"> </w:t>
      </w:r>
      <w:r w:rsidRPr="00531BD3">
        <w:rPr>
          <w:rFonts w:hint="eastAsia"/>
          <w:rtl/>
        </w:rPr>
        <w:t>אחרים</w:t>
      </w:r>
      <w:r w:rsidRPr="00531BD3">
        <w:rPr>
          <w:rtl/>
        </w:rPr>
        <w:t xml:space="preserve"> </w:t>
      </w:r>
      <w:r w:rsidRPr="00531BD3">
        <w:rPr>
          <w:rFonts w:hint="eastAsia"/>
          <w:rtl/>
        </w:rPr>
        <w:t>יוכלו</w:t>
      </w:r>
      <w:r w:rsidRPr="00531BD3">
        <w:rPr>
          <w:rtl/>
        </w:rPr>
        <w:t xml:space="preserve"> </w:t>
      </w:r>
      <w:r w:rsidRPr="00531BD3">
        <w:rPr>
          <w:rFonts w:hint="eastAsia"/>
          <w:rtl/>
        </w:rPr>
        <w:t>לדון</w:t>
      </w:r>
      <w:r w:rsidRPr="00531BD3">
        <w:rPr>
          <w:rtl/>
        </w:rPr>
        <w:t xml:space="preserve"> </w:t>
      </w:r>
      <w:r w:rsidRPr="00531BD3">
        <w:rPr>
          <w:rFonts w:hint="eastAsia"/>
          <w:rtl/>
        </w:rPr>
        <w:t>בכנות</w:t>
      </w:r>
      <w:r w:rsidRPr="00531BD3">
        <w:rPr>
          <w:rtl/>
        </w:rPr>
        <w:t xml:space="preserve"> </w:t>
      </w:r>
      <w:r w:rsidRPr="00531BD3">
        <w:rPr>
          <w:rFonts w:hint="eastAsia"/>
          <w:rtl/>
        </w:rPr>
        <w:t>בצרכים</w:t>
      </w:r>
      <w:r w:rsidRPr="00531BD3">
        <w:rPr>
          <w:rtl/>
        </w:rPr>
        <w:t xml:space="preserve"> </w:t>
      </w:r>
      <w:r w:rsidRPr="00531BD3">
        <w:rPr>
          <w:rFonts w:hint="eastAsia"/>
          <w:rtl/>
        </w:rPr>
        <w:t>ובחששות</w:t>
      </w:r>
      <w:r w:rsidRPr="00531BD3">
        <w:rPr>
          <w:rFonts w:hint="cs"/>
          <w:rtl/>
        </w:rPr>
        <w:t>" (שם, פסקה 31).</w:t>
      </w:r>
    </w:p>
    <w:p w:rsidR="008A4DD4" w:rsidRPr="00531BD3" w:rsidRDefault="008A4DD4" w:rsidP="008A4DD4">
      <w:pPr>
        <w:pStyle w:val="Ruller41"/>
        <w:rPr>
          <w:rtl/>
        </w:rPr>
      </w:pPr>
    </w:p>
    <w:p w:rsidR="008A4DD4" w:rsidRPr="00531BD3" w:rsidRDefault="008A4DD4" w:rsidP="008A4DD4">
      <w:pPr>
        <w:pStyle w:val="Ruller41"/>
        <w:rPr>
          <w:rtl/>
        </w:rPr>
      </w:pPr>
      <w:r w:rsidRPr="00531BD3">
        <w:rPr>
          <w:rFonts w:ascii="Century" w:hAnsi="Century"/>
          <w:rtl/>
        </w:rPr>
        <w:tab/>
      </w:r>
      <w:r w:rsidRPr="00531BD3">
        <w:rPr>
          <w:rFonts w:ascii="Century" w:hAnsi="Century" w:hint="cs"/>
          <w:rtl/>
        </w:rPr>
        <w:t xml:space="preserve">אכן, נקודת המוצא היא כי לא ניתן לקבוע רשימה סגורה של קריטריונים שבהם נדרשת לעמוד ועדה מיוחדת. אולם לא ניתן להתעלם </w:t>
      </w:r>
      <w:r w:rsidRPr="00531BD3">
        <w:rPr>
          <w:rFonts w:hint="cs"/>
          <w:rtl/>
        </w:rPr>
        <w:t>מהנחת היסוד על פיה מדובר במנגנון המת</w:t>
      </w:r>
      <w:r w:rsidRPr="00531BD3">
        <w:rPr>
          <w:rFonts w:ascii="Century" w:hAnsi="Century" w:hint="cs"/>
          <w:rtl/>
        </w:rPr>
        <w:t xml:space="preserve">מקד בהשאת טובת החברה, תוך ניסיון לנטרל את ניגוד העניינים שעשוי להשפיע על קבלת ההחלטות בחברה. כפועל יוצא מכך, על פני הדברים, מאפייניה הגרעיניים של ועדה מיוחדת כזו </w:t>
      </w:r>
      <w:r w:rsidRPr="00531BD3">
        <w:rPr>
          <w:rFonts w:ascii="Century" w:hAnsi="Century"/>
          <w:rtl/>
        </w:rPr>
        <w:t>–</w:t>
      </w:r>
      <w:r w:rsidRPr="00531BD3">
        <w:rPr>
          <w:rFonts w:ascii="Century" w:hAnsi="Century" w:hint="cs"/>
          <w:rtl/>
        </w:rPr>
        <w:t xml:space="preserve"> אשר בענייננו הוקמה על רקע ניגוד העניינים של בעלי השליטה ובעלי העניין </w:t>
      </w:r>
      <w:r w:rsidRPr="00531BD3">
        <w:rPr>
          <w:rFonts w:ascii="Century" w:hAnsi="Century"/>
          <w:rtl/>
        </w:rPr>
        <w:t>–</w:t>
      </w:r>
      <w:r w:rsidRPr="00531BD3">
        <w:rPr>
          <w:rFonts w:ascii="Century" w:hAnsi="Century" w:hint="cs"/>
          <w:rtl/>
        </w:rPr>
        <w:t xml:space="preserve"> כוללים אלמנט של הפרדה ברורה מבעלי העניין. שאם לא כן, וזרועו של ב</w:t>
      </w:r>
      <w:r w:rsidRPr="00531BD3">
        <w:rPr>
          <w:rFonts w:hint="cs"/>
          <w:rtl/>
        </w:rPr>
        <w:t>על השליטה (או יתר בעלי העניין שהוחלט להרחיק ממעורבות בעסקה מסוימת) תהא בוחשת במסמכי הוועדה, לא יהא מדובר עוד בהליך תחרותי וניטרלי של משא ומתן המדמה תנאי שוק (</w:t>
      </w:r>
      <w:r w:rsidRPr="00531BD3">
        <w:rPr>
          <w:rFonts w:ascii="Century" w:hAnsi="Century" w:cs="Miriam" w:hint="cs"/>
          <w:b/>
          <w:spacing w:val="0"/>
          <w:szCs w:val="24"/>
          <w:rtl/>
        </w:rPr>
        <w:t xml:space="preserve">חמדני </w:t>
      </w:r>
      <w:proofErr w:type="spellStart"/>
      <w:r w:rsidRPr="00531BD3">
        <w:rPr>
          <w:rFonts w:ascii="Century" w:hAnsi="Century" w:cs="Miriam" w:hint="cs"/>
          <w:b/>
          <w:spacing w:val="0"/>
          <w:szCs w:val="24"/>
          <w:rtl/>
        </w:rPr>
        <w:t>וחנס</w:t>
      </w:r>
      <w:proofErr w:type="spellEnd"/>
      <w:r w:rsidRPr="00531BD3">
        <w:rPr>
          <w:rFonts w:hint="cs"/>
          <w:rtl/>
        </w:rPr>
        <w:t>, עמ' 786; שם בוטאו הדברים באופן חד: "לא יעלה על הדעת שנתונים המשמשים את הוועדה המיוחדת למשא ומתן, יועברו לידיעת בעל השליטה (לדוגמה, טיוטות של הערכת שווי שעל בסיסן מתכוונת הוועדה לנהל משא ומתן)").</w:t>
      </w:r>
    </w:p>
    <w:p w:rsidR="008A4DD4" w:rsidRPr="00531BD3" w:rsidRDefault="008A4DD4" w:rsidP="008A4DD4">
      <w:pPr>
        <w:pStyle w:val="Ruller41"/>
        <w:rPr>
          <w:rtl/>
        </w:rPr>
      </w:pPr>
    </w:p>
    <w:p w:rsidR="008A4DD4" w:rsidRPr="00531BD3" w:rsidRDefault="008A4DD4" w:rsidP="008A4DD4">
      <w:pPr>
        <w:pStyle w:val="Ruller4"/>
        <w:rPr>
          <w:rtl/>
        </w:rPr>
      </w:pPr>
      <w:r w:rsidRPr="00531BD3">
        <w:rPr>
          <w:rFonts w:ascii="Century" w:hAnsi="Century" w:hint="cs"/>
          <w:rtl/>
        </w:rPr>
        <w:t xml:space="preserve">אם כן, לסיכום </w:t>
      </w:r>
      <w:r>
        <w:rPr>
          <w:rFonts w:ascii="Century" w:hAnsi="Century" w:hint="cs"/>
          <w:rtl/>
        </w:rPr>
        <w:t xml:space="preserve">פרק </w:t>
      </w:r>
      <w:r w:rsidRPr="00531BD3">
        <w:rPr>
          <w:rFonts w:ascii="Century" w:hAnsi="Century" w:hint="cs"/>
          <w:rtl/>
        </w:rPr>
        <w:t>זה. במישור האזרחי, הקמת ועדה מיוחדת נועדה להתמודד עם ניגוד העניינים הטמון בעסקה עם בעל שליטה ובעלי עניין, על רקע המנגנונים הקבועים בדין האזרחי ביחס לעסקאות כאלו. על רקע האמור, ובהינתן ש</w:t>
      </w:r>
      <w:r w:rsidRPr="00531BD3">
        <w:rPr>
          <w:rFonts w:hint="cs"/>
          <w:rtl/>
        </w:rPr>
        <w:t>מדובר במנגנון המת</w:t>
      </w:r>
      <w:r w:rsidRPr="00531BD3">
        <w:rPr>
          <w:rFonts w:ascii="Century" w:hAnsi="Century" w:hint="cs"/>
          <w:sz w:val="22"/>
          <w:rtl/>
        </w:rPr>
        <w:t xml:space="preserve">מקד בהשאת טובת החברה תוך ניסיון לנטרל את ניגוד העניינים שעשוי להשפיע על קבלת ההחלטות, אכן קיים בסיס לסברה כי </w:t>
      </w:r>
      <w:r w:rsidRPr="00531BD3">
        <w:rPr>
          <w:rFonts w:ascii="Century" w:hAnsi="Century" w:hint="cs"/>
          <w:rtl/>
        </w:rPr>
        <w:t xml:space="preserve">חלק ממאפייניה הגרעיניים של ועדה מיוחדת כזו כולל אלמנט של הפרדה ברורה מבעלי העניין, ולענייננו חובת סודיות כאמור. אך כל זאת במישור האזרחי. הקביעה </w:t>
      </w:r>
      <w:r>
        <w:rPr>
          <w:rFonts w:ascii="Century" w:hAnsi="Century" w:hint="cs"/>
          <w:rtl/>
        </w:rPr>
        <w:t xml:space="preserve">אפוא </w:t>
      </w:r>
      <w:r w:rsidRPr="00531BD3">
        <w:rPr>
          <w:rFonts w:ascii="Century" w:hAnsi="Century" w:hint="cs"/>
          <w:rtl/>
        </w:rPr>
        <w:t>כי במישור האזרחי, בבסיס מאפייניה של ועדה מיוחדת נכלל אלמנט של הפרדה ברורה של בעלי העניין הינה רק תחילת הדרך, אך לא סופה. יש לעמוד על השלכותיה של קביעה זו, אם בכלל, על ענייננו במישור הפלילי.</w:t>
      </w:r>
    </w:p>
    <w:p w:rsidR="008A4DD4" w:rsidRPr="00531BD3" w:rsidRDefault="008A4DD4" w:rsidP="008A4DD4">
      <w:pPr>
        <w:pStyle w:val="Ruller41"/>
        <w:rPr>
          <w:rFonts w:ascii="Century" w:hAnsi="Century"/>
          <w:rtl/>
        </w:rPr>
      </w:pPr>
    </w:p>
    <w:p w:rsidR="008A4DD4" w:rsidRPr="00531BD3" w:rsidRDefault="008A4DD4" w:rsidP="008A4DD4">
      <w:pPr>
        <w:pStyle w:val="Ruller41"/>
        <w:rPr>
          <w:rFonts w:ascii="Century" w:hAnsi="Century" w:cs="Miriam"/>
          <w:b/>
          <w:spacing w:val="0"/>
          <w:szCs w:val="24"/>
          <w:rtl/>
        </w:rPr>
      </w:pPr>
      <w:r w:rsidRPr="00531BD3">
        <w:rPr>
          <w:rFonts w:ascii="Century" w:hAnsi="Century" w:cs="Miriam" w:hint="cs"/>
          <w:b/>
          <w:spacing w:val="0"/>
          <w:szCs w:val="24"/>
          <w:rtl/>
        </w:rPr>
        <w:t>בין הדין האזרחי לפלילי</w:t>
      </w:r>
    </w:p>
    <w:p w:rsidR="008A4DD4" w:rsidRPr="00531BD3" w:rsidRDefault="008A4DD4" w:rsidP="008A4DD4">
      <w:pPr>
        <w:pStyle w:val="Ruller4"/>
      </w:pPr>
      <w:r w:rsidRPr="00531BD3">
        <w:rPr>
          <w:rtl/>
        </w:rPr>
        <w:t xml:space="preserve">כפי שציינתי בעבר בעניין </w:t>
      </w:r>
      <w:proofErr w:type="spellStart"/>
      <w:r w:rsidRPr="00531BD3">
        <w:rPr>
          <w:rFonts w:cs="Miriam"/>
          <w:b/>
          <w:spacing w:val="0"/>
          <w:szCs w:val="24"/>
          <w:rtl/>
        </w:rPr>
        <w:t>טטרו</w:t>
      </w:r>
      <w:proofErr w:type="spellEnd"/>
      <w:r w:rsidRPr="00531BD3">
        <w:rPr>
          <w:rtl/>
        </w:rPr>
        <w:t xml:space="preserve">, </w:t>
      </w:r>
      <w:r w:rsidRPr="00531BD3">
        <w:rPr>
          <w:rFonts w:hint="eastAsia"/>
          <w:rtl/>
        </w:rPr>
        <w:t>דיני</w:t>
      </w:r>
      <w:r w:rsidRPr="00531BD3">
        <w:rPr>
          <w:rtl/>
        </w:rPr>
        <w:t xml:space="preserve"> </w:t>
      </w:r>
      <w:r w:rsidRPr="00531BD3">
        <w:rPr>
          <w:rFonts w:hint="eastAsia"/>
          <w:rtl/>
        </w:rPr>
        <w:t>חברות</w:t>
      </w:r>
      <w:r w:rsidRPr="00531BD3">
        <w:rPr>
          <w:rtl/>
        </w:rPr>
        <w:t xml:space="preserve"> </w:t>
      </w:r>
      <w:r w:rsidRPr="00531BD3">
        <w:rPr>
          <w:rFonts w:hint="eastAsia"/>
          <w:rtl/>
        </w:rPr>
        <w:t>והמשפט</w:t>
      </w:r>
      <w:r w:rsidRPr="00531BD3">
        <w:rPr>
          <w:rtl/>
        </w:rPr>
        <w:t xml:space="preserve"> </w:t>
      </w:r>
      <w:r w:rsidRPr="00531BD3">
        <w:rPr>
          <w:rFonts w:hint="eastAsia"/>
          <w:rtl/>
        </w:rPr>
        <w:t>הפלילי</w:t>
      </w:r>
      <w:r w:rsidRPr="00531BD3">
        <w:rPr>
          <w:rtl/>
        </w:rPr>
        <w:t xml:space="preserve"> </w:t>
      </w:r>
      <w:r w:rsidRPr="00531BD3">
        <w:rPr>
          <w:rFonts w:hint="eastAsia"/>
          <w:rtl/>
        </w:rPr>
        <w:t>הם</w:t>
      </w:r>
      <w:r w:rsidRPr="00531BD3">
        <w:rPr>
          <w:rtl/>
        </w:rPr>
        <w:t xml:space="preserve"> </w:t>
      </w:r>
      <w:r w:rsidRPr="00531BD3">
        <w:rPr>
          <w:rFonts w:hint="eastAsia"/>
          <w:rtl/>
        </w:rPr>
        <w:t>תחומי</w:t>
      </w:r>
      <w:r w:rsidRPr="00531BD3">
        <w:rPr>
          <w:rtl/>
        </w:rPr>
        <w:t xml:space="preserve"> </w:t>
      </w:r>
      <w:r w:rsidRPr="00531BD3">
        <w:rPr>
          <w:rFonts w:hint="eastAsia"/>
          <w:rtl/>
        </w:rPr>
        <w:t>משפט</w:t>
      </w:r>
      <w:r w:rsidRPr="00531BD3">
        <w:rPr>
          <w:rtl/>
        </w:rPr>
        <w:t xml:space="preserve"> </w:t>
      </w:r>
      <w:r w:rsidRPr="00531BD3">
        <w:rPr>
          <w:rFonts w:hint="eastAsia"/>
          <w:rtl/>
        </w:rPr>
        <w:t>שו</w:t>
      </w:r>
      <w:r w:rsidRPr="00531BD3">
        <w:rPr>
          <w:rtl/>
        </w:rPr>
        <w:t xml:space="preserve">נים הנשענים על רציונליים שונים </w:t>
      </w:r>
      <w:r w:rsidRPr="00531BD3">
        <w:rPr>
          <w:rFonts w:hint="cs"/>
          <w:rtl/>
        </w:rPr>
        <w:t xml:space="preserve">כאשר </w:t>
      </w:r>
      <w:r w:rsidRPr="00531BD3">
        <w:rPr>
          <w:rFonts w:hint="eastAsia"/>
          <w:rtl/>
        </w:rPr>
        <w:t>היקש</w:t>
      </w:r>
      <w:r w:rsidRPr="00531BD3">
        <w:rPr>
          <w:rtl/>
        </w:rPr>
        <w:t xml:space="preserve"> </w:t>
      </w:r>
      <w:r w:rsidRPr="00531BD3">
        <w:rPr>
          <w:rFonts w:hint="eastAsia"/>
          <w:rtl/>
        </w:rPr>
        <w:t>בין</w:t>
      </w:r>
      <w:r w:rsidRPr="00531BD3">
        <w:rPr>
          <w:rtl/>
        </w:rPr>
        <w:t xml:space="preserve"> </w:t>
      </w:r>
      <w:r w:rsidRPr="00531BD3">
        <w:rPr>
          <w:rFonts w:hint="eastAsia"/>
          <w:rtl/>
        </w:rPr>
        <w:t>שני</w:t>
      </w:r>
      <w:r w:rsidRPr="00531BD3">
        <w:rPr>
          <w:rtl/>
        </w:rPr>
        <w:t xml:space="preserve"> </w:t>
      </w:r>
      <w:r w:rsidRPr="00531BD3">
        <w:rPr>
          <w:rFonts w:hint="eastAsia"/>
          <w:rtl/>
        </w:rPr>
        <w:t>התחומים</w:t>
      </w:r>
      <w:r w:rsidRPr="00531BD3">
        <w:rPr>
          <w:rtl/>
        </w:rPr>
        <w:t xml:space="preserve"> </w:t>
      </w:r>
      <w:r w:rsidRPr="00531BD3">
        <w:rPr>
          <w:rFonts w:hint="eastAsia"/>
          <w:rtl/>
        </w:rPr>
        <w:t>צריך</w:t>
      </w:r>
      <w:r w:rsidRPr="00531BD3">
        <w:rPr>
          <w:rtl/>
        </w:rPr>
        <w:t xml:space="preserve"> </w:t>
      </w:r>
      <w:r w:rsidRPr="00531BD3">
        <w:rPr>
          <w:rFonts w:hint="eastAsia"/>
          <w:rtl/>
        </w:rPr>
        <w:t>להיעשות</w:t>
      </w:r>
      <w:r w:rsidRPr="00531BD3">
        <w:rPr>
          <w:rtl/>
        </w:rPr>
        <w:t xml:space="preserve"> </w:t>
      </w:r>
      <w:r w:rsidRPr="00531BD3">
        <w:rPr>
          <w:rFonts w:hint="eastAsia"/>
          <w:rtl/>
        </w:rPr>
        <w:lastRenderedPageBreak/>
        <w:t>בזהירות</w:t>
      </w:r>
      <w:r w:rsidRPr="00531BD3">
        <w:rPr>
          <w:rtl/>
        </w:rPr>
        <w:t xml:space="preserve"> (</w:t>
      </w:r>
      <w:r w:rsidRPr="00531BD3">
        <w:rPr>
          <w:rFonts w:hint="eastAsia"/>
          <w:rtl/>
        </w:rPr>
        <w:t>שם</w:t>
      </w:r>
      <w:r w:rsidRPr="00531BD3">
        <w:rPr>
          <w:rtl/>
        </w:rPr>
        <w:t xml:space="preserve">, </w:t>
      </w:r>
      <w:r w:rsidRPr="00531BD3">
        <w:rPr>
          <w:rFonts w:hint="eastAsia"/>
          <w:rtl/>
        </w:rPr>
        <w:t>פסקה</w:t>
      </w:r>
      <w:r w:rsidRPr="00531BD3">
        <w:rPr>
          <w:rtl/>
        </w:rPr>
        <w:t xml:space="preserve"> 29). </w:t>
      </w:r>
      <w:r w:rsidRPr="00531BD3">
        <w:rPr>
          <w:rFonts w:hint="eastAsia"/>
          <w:rtl/>
        </w:rPr>
        <w:t>עם</w:t>
      </w:r>
      <w:r w:rsidRPr="00531BD3">
        <w:rPr>
          <w:rtl/>
        </w:rPr>
        <w:t xml:space="preserve"> </w:t>
      </w:r>
      <w:r w:rsidRPr="00531BD3">
        <w:rPr>
          <w:rFonts w:hint="eastAsia"/>
          <w:rtl/>
        </w:rPr>
        <w:t>זאת</w:t>
      </w:r>
      <w:r w:rsidRPr="00531BD3">
        <w:rPr>
          <w:rtl/>
        </w:rPr>
        <w:t xml:space="preserve">, </w:t>
      </w:r>
      <w:r w:rsidRPr="00531BD3">
        <w:rPr>
          <w:rFonts w:hint="eastAsia"/>
          <w:rtl/>
        </w:rPr>
        <w:t>כפי</w:t>
      </w:r>
      <w:r w:rsidRPr="00531BD3">
        <w:rPr>
          <w:rtl/>
        </w:rPr>
        <w:t xml:space="preserve"> </w:t>
      </w:r>
      <w:r w:rsidRPr="00531BD3">
        <w:rPr>
          <w:rFonts w:hint="eastAsia"/>
          <w:rtl/>
        </w:rPr>
        <w:t>שציינתי</w:t>
      </w:r>
      <w:r w:rsidRPr="00531BD3">
        <w:rPr>
          <w:rtl/>
        </w:rPr>
        <w:t xml:space="preserve"> </w:t>
      </w:r>
      <w:r w:rsidRPr="00531BD3">
        <w:rPr>
          <w:rFonts w:hint="eastAsia"/>
          <w:rtl/>
        </w:rPr>
        <w:t>באותו</w:t>
      </w:r>
      <w:r w:rsidRPr="00531BD3">
        <w:rPr>
          <w:rtl/>
        </w:rPr>
        <w:t xml:space="preserve"> </w:t>
      </w:r>
      <w:r w:rsidRPr="00531BD3">
        <w:rPr>
          <w:rFonts w:hint="eastAsia"/>
          <w:rtl/>
        </w:rPr>
        <w:t>עניין</w:t>
      </w:r>
      <w:r w:rsidRPr="00531BD3">
        <w:rPr>
          <w:rtl/>
        </w:rPr>
        <w:t xml:space="preserve">, </w:t>
      </w:r>
      <w:r w:rsidRPr="00531BD3">
        <w:rPr>
          <w:rFonts w:hint="eastAsia"/>
          <w:rtl/>
        </w:rPr>
        <w:t>הוראות</w:t>
      </w:r>
      <w:r w:rsidRPr="00531BD3">
        <w:rPr>
          <w:rtl/>
        </w:rPr>
        <w:t xml:space="preserve"> </w:t>
      </w:r>
      <w:r w:rsidRPr="00531BD3">
        <w:rPr>
          <w:rFonts w:hint="eastAsia"/>
          <w:rtl/>
        </w:rPr>
        <w:t>חוק</w:t>
      </w:r>
      <w:r w:rsidRPr="00531BD3">
        <w:rPr>
          <w:rtl/>
        </w:rPr>
        <w:t xml:space="preserve"> </w:t>
      </w:r>
      <w:r w:rsidRPr="00531BD3">
        <w:rPr>
          <w:rFonts w:hint="eastAsia"/>
          <w:rtl/>
        </w:rPr>
        <w:t>כלליות</w:t>
      </w:r>
      <w:r w:rsidRPr="00531BD3">
        <w:rPr>
          <w:rtl/>
        </w:rPr>
        <w:t xml:space="preserve"> "</w:t>
      </w:r>
      <w:r w:rsidRPr="00531BD3">
        <w:rPr>
          <w:rFonts w:hint="eastAsia"/>
          <w:rtl/>
        </w:rPr>
        <w:t>אזרחיות</w:t>
      </w:r>
      <w:r w:rsidRPr="00531BD3">
        <w:rPr>
          <w:rtl/>
        </w:rPr>
        <w:t xml:space="preserve">" </w:t>
      </w:r>
      <w:r w:rsidRPr="00531BD3">
        <w:rPr>
          <w:rFonts w:hint="eastAsia"/>
          <w:rtl/>
        </w:rPr>
        <w:t>עשויות</w:t>
      </w:r>
      <w:r w:rsidRPr="00531BD3">
        <w:rPr>
          <w:rtl/>
        </w:rPr>
        <w:t xml:space="preserve"> </w:t>
      </w:r>
      <w:r w:rsidRPr="00531BD3">
        <w:rPr>
          <w:rFonts w:hint="eastAsia"/>
          <w:rtl/>
        </w:rPr>
        <w:t>לשמש</w:t>
      </w:r>
      <w:r w:rsidRPr="00531BD3">
        <w:rPr>
          <w:rtl/>
        </w:rPr>
        <w:t xml:space="preserve"> </w:t>
      </w:r>
      <w:r w:rsidRPr="00531BD3">
        <w:rPr>
          <w:rFonts w:hint="eastAsia"/>
          <w:rtl/>
        </w:rPr>
        <w:t>קו</w:t>
      </w:r>
      <w:r w:rsidRPr="00531BD3">
        <w:rPr>
          <w:rtl/>
        </w:rPr>
        <w:t xml:space="preserve"> </w:t>
      </w:r>
      <w:r w:rsidRPr="00531BD3">
        <w:rPr>
          <w:rFonts w:hint="eastAsia"/>
          <w:rtl/>
        </w:rPr>
        <w:t>מנחה</w:t>
      </w:r>
      <w:r w:rsidRPr="00531BD3">
        <w:rPr>
          <w:rtl/>
        </w:rPr>
        <w:t xml:space="preserve"> </w:t>
      </w:r>
      <w:r w:rsidRPr="00531BD3">
        <w:rPr>
          <w:rFonts w:hint="eastAsia"/>
          <w:rtl/>
        </w:rPr>
        <w:t>במידה</w:t>
      </w:r>
      <w:r w:rsidRPr="00531BD3">
        <w:rPr>
          <w:rtl/>
        </w:rPr>
        <w:t xml:space="preserve"> </w:t>
      </w:r>
      <w:r w:rsidRPr="00531BD3">
        <w:rPr>
          <w:rFonts w:hint="eastAsia"/>
          <w:rtl/>
        </w:rPr>
        <w:t>מסוימת</w:t>
      </w:r>
      <w:r w:rsidRPr="00531BD3">
        <w:rPr>
          <w:rtl/>
        </w:rPr>
        <w:t xml:space="preserve"> </w:t>
      </w:r>
      <w:r w:rsidRPr="00531BD3">
        <w:rPr>
          <w:rFonts w:hint="eastAsia"/>
          <w:rtl/>
        </w:rPr>
        <w:t>לבחינת</w:t>
      </w:r>
      <w:r w:rsidRPr="00531BD3">
        <w:rPr>
          <w:rtl/>
        </w:rPr>
        <w:t xml:space="preserve"> </w:t>
      </w:r>
      <w:r w:rsidRPr="00531BD3">
        <w:rPr>
          <w:rFonts w:hint="eastAsia"/>
          <w:rtl/>
        </w:rPr>
        <w:t>הפרת</w:t>
      </w:r>
      <w:r w:rsidRPr="00531BD3">
        <w:rPr>
          <w:rtl/>
        </w:rPr>
        <w:t xml:space="preserve"> </w:t>
      </w:r>
      <w:r w:rsidRPr="00531BD3">
        <w:rPr>
          <w:rFonts w:hint="eastAsia"/>
          <w:rtl/>
        </w:rPr>
        <w:t>נורמה</w:t>
      </w:r>
      <w:r w:rsidRPr="00531BD3">
        <w:rPr>
          <w:rtl/>
        </w:rPr>
        <w:t xml:space="preserve"> </w:t>
      </w:r>
      <w:r w:rsidRPr="00531BD3">
        <w:rPr>
          <w:rFonts w:hint="eastAsia"/>
          <w:rtl/>
        </w:rPr>
        <w:t>פלילית</w:t>
      </w:r>
      <w:r w:rsidRPr="00531BD3">
        <w:rPr>
          <w:rtl/>
        </w:rPr>
        <w:t xml:space="preserve"> (</w:t>
      </w:r>
      <w:r w:rsidRPr="00531BD3">
        <w:rPr>
          <w:rFonts w:hint="eastAsia"/>
          <w:rtl/>
        </w:rPr>
        <w:t>שם</w:t>
      </w:r>
      <w:r w:rsidRPr="00531BD3">
        <w:rPr>
          <w:rtl/>
        </w:rPr>
        <w:t xml:space="preserve">, </w:t>
      </w:r>
      <w:r w:rsidRPr="00531BD3">
        <w:rPr>
          <w:rFonts w:hint="eastAsia"/>
          <w:rtl/>
        </w:rPr>
        <w:t>פסקה</w:t>
      </w:r>
      <w:r w:rsidRPr="00531BD3">
        <w:rPr>
          <w:rtl/>
        </w:rPr>
        <w:t xml:space="preserve"> 30).  </w:t>
      </w:r>
      <w:r w:rsidRPr="00531BD3">
        <w:rPr>
          <w:rFonts w:hint="eastAsia"/>
          <w:rtl/>
        </w:rPr>
        <w:t>אולם</w:t>
      </w:r>
      <w:r w:rsidRPr="00531BD3">
        <w:rPr>
          <w:rtl/>
        </w:rPr>
        <w:t xml:space="preserve"> </w:t>
      </w:r>
      <w:r w:rsidRPr="00531BD3">
        <w:rPr>
          <w:rFonts w:hint="eastAsia"/>
          <w:rtl/>
        </w:rPr>
        <w:t>טרם</w:t>
      </w:r>
      <w:r w:rsidRPr="00531BD3">
        <w:rPr>
          <w:rtl/>
        </w:rPr>
        <w:t xml:space="preserve"> </w:t>
      </w:r>
      <w:r w:rsidRPr="00531BD3">
        <w:rPr>
          <w:rFonts w:hint="eastAsia"/>
          <w:rtl/>
        </w:rPr>
        <w:t>נדרש</w:t>
      </w:r>
      <w:r w:rsidRPr="00531BD3">
        <w:rPr>
          <w:rtl/>
        </w:rPr>
        <w:t xml:space="preserve"> </w:t>
      </w:r>
      <w:r w:rsidRPr="00531BD3">
        <w:rPr>
          <w:rFonts w:hint="eastAsia"/>
          <w:rtl/>
        </w:rPr>
        <w:t>לכך</w:t>
      </w:r>
      <w:r w:rsidRPr="00531BD3">
        <w:rPr>
          <w:rtl/>
        </w:rPr>
        <w:t xml:space="preserve">, </w:t>
      </w:r>
      <w:r w:rsidRPr="00531BD3">
        <w:rPr>
          <w:rFonts w:hint="eastAsia"/>
          <w:rtl/>
        </w:rPr>
        <w:t>לצורך</w:t>
      </w:r>
      <w:r w:rsidRPr="00531BD3">
        <w:rPr>
          <w:rtl/>
        </w:rPr>
        <w:t xml:space="preserve"> </w:t>
      </w:r>
      <w:r w:rsidRPr="00531BD3">
        <w:rPr>
          <w:rFonts w:hint="eastAsia"/>
          <w:rtl/>
        </w:rPr>
        <w:t>מתן</w:t>
      </w:r>
      <w:r w:rsidRPr="00531BD3">
        <w:rPr>
          <w:rtl/>
        </w:rPr>
        <w:t xml:space="preserve"> </w:t>
      </w:r>
      <w:r w:rsidRPr="00531BD3">
        <w:rPr>
          <w:rFonts w:hint="eastAsia"/>
          <w:rtl/>
        </w:rPr>
        <w:t>מענה</w:t>
      </w:r>
      <w:r w:rsidRPr="00531BD3">
        <w:rPr>
          <w:rtl/>
        </w:rPr>
        <w:t xml:space="preserve"> </w:t>
      </w:r>
      <w:r w:rsidRPr="00531BD3">
        <w:rPr>
          <w:rFonts w:hint="eastAsia"/>
          <w:rtl/>
        </w:rPr>
        <w:t>לשאלה</w:t>
      </w:r>
      <w:r w:rsidRPr="00531BD3">
        <w:rPr>
          <w:rtl/>
        </w:rPr>
        <w:t xml:space="preserve"> </w:t>
      </w:r>
      <w:r w:rsidRPr="00531BD3">
        <w:rPr>
          <w:rFonts w:hint="eastAsia"/>
          <w:rtl/>
        </w:rPr>
        <w:t>האם</w:t>
      </w:r>
      <w:r w:rsidRPr="00531BD3">
        <w:rPr>
          <w:rtl/>
        </w:rPr>
        <w:t xml:space="preserve"> </w:t>
      </w:r>
      <w:r w:rsidRPr="00531BD3">
        <w:rPr>
          <w:rFonts w:hint="eastAsia"/>
          <w:rtl/>
        </w:rPr>
        <w:t>יש</w:t>
      </w:r>
      <w:r w:rsidRPr="00531BD3">
        <w:rPr>
          <w:rtl/>
        </w:rPr>
        <w:t xml:space="preserve"> </w:t>
      </w:r>
      <w:r w:rsidRPr="00531BD3">
        <w:rPr>
          <w:rFonts w:hint="eastAsia"/>
          <w:rtl/>
        </w:rPr>
        <w:t>בהפרת</w:t>
      </w:r>
      <w:r w:rsidRPr="00531BD3">
        <w:rPr>
          <w:rtl/>
        </w:rPr>
        <w:t xml:space="preserve"> </w:t>
      </w:r>
      <w:r w:rsidRPr="00531BD3">
        <w:rPr>
          <w:rFonts w:hint="eastAsia"/>
          <w:rtl/>
        </w:rPr>
        <w:t>חובת</w:t>
      </w:r>
      <w:r w:rsidRPr="00531BD3">
        <w:rPr>
          <w:rtl/>
        </w:rPr>
        <w:t xml:space="preserve"> </w:t>
      </w:r>
      <w:r w:rsidRPr="00531BD3">
        <w:rPr>
          <w:rFonts w:hint="eastAsia"/>
          <w:rtl/>
        </w:rPr>
        <w:t>סודיות</w:t>
      </w:r>
      <w:r w:rsidRPr="00531BD3">
        <w:rPr>
          <w:rtl/>
        </w:rPr>
        <w:t xml:space="preserve"> </w:t>
      </w:r>
      <w:r w:rsidRPr="00531BD3">
        <w:rPr>
          <w:rFonts w:hint="eastAsia"/>
          <w:rtl/>
        </w:rPr>
        <w:t>כאמור</w:t>
      </w:r>
      <w:r w:rsidRPr="00531BD3">
        <w:rPr>
          <w:rtl/>
        </w:rPr>
        <w:t xml:space="preserve"> </w:t>
      </w:r>
      <w:r w:rsidRPr="00531BD3">
        <w:rPr>
          <w:rFonts w:hint="eastAsia"/>
          <w:rtl/>
        </w:rPr>
        <w:t>משום</w:t>
      </w:r>
      <w:r w:rsidRPr="00531BD3">
        <w:rPr>
          <w:rtl/>
        </w:rPr>
        <w:t xml:space="preserve"> </w:t>
      </w:r>
      <w:r w:rsidRPr="00531BD3">
        <w:rPr>
          <w:rFonts w:hint="eastAsia"/>
          <w:rtl/>
        </w:rPr>
        <w:t>עבירה</w:t>
      </w:r>
      <w:r w:rsidRPr="00531BD3">
        <w:rPr>
          <w:rtl/>
        </w:rPr>
        <w:t xml:space="preserve"> </w:t>
      </w:r>
      <w:r w:rsidRPr="00531BD3">
        <w:rPr>
          <w:rFonts w:hint="eastAsia"/>
          <w:rtl/>
        </w:rPr>
        <w:t>במישור</w:t>
      </w:r>
      <w:r w:rsidRPr="00531BD3">
        <w:rPr>
          <w:rtl/>
        </w:rPr>
        <w:t xml:space="preserve"> </w:t>
      </w:r>
      <w:r w:rsidRPr="00531BD3">
        <w:rPr>
          <w:rFonts w:hint="eastAsia"/>
          <w:rtl/>
        </w:rPr>
        <w:t>הפלילי</w:t>
      </w:r>
      <w:r w:rsidRPr="00531BD3">
        <w:rPr>
          <w:rtl/>
        </w:rPr>
        <w:t xml:space="preserve">, </w:t>
      </w:r>
      <w:r w:rsidRPr="00531BD3">
        <w:rPr>
          <w:rFonts w:hint="eastAsia"/>
          <w:rtl/>
        </w:rPr>
        <w:t>יש</w:t>
      </w:r>
      <w:r w:rsidRPr="00531BD3">
        <w:rPr>
          <w:rtl/>
        </w:rPr>
        <w:t xml:space="preserve"> </w:t>
      </w:r>
      <w:r w:rsidRPr="00531BD3">
        <w:rPr>
          <w:rFonts w:hint="eastAsia"/>
          <w:rtl/>
        </w:rPr>
        <w:t>לעמוד</w:t>
      </w:r>
      <w:r w:rsidRPr="00531BD3">
        <w:rPr>
          <w:rtl/>
        </w:rPr>
        <w:t xml:space="preserve"> </w:t>
      </w:r>
      <w:r w:rsidRPr="00531BD3">
        <w:rPr>
          <w:rFonts w:hint="eastAsia"/>
          <w:rtl/>
        </w:rPr>
        <w:t>תחילה</w:t>
      </w:r>
      <w:r w:rsidRPr="00531BD3">
        <w:rPr>
          <w:rtl/>
        </w:rPr>
        <w:t xml:space="preserve"> </w:t>
      </w:r>
      <w:r w:rsidRPr="00531BD3">
        <w:rPr>
          <w:rFonts w:hint="eastAsia"/>
          <w:rtl/>
        </w:rPr>
        <w:t>על</w:t>
      </w:r>
      <w:r w:rsidRPr="00531BD3">
        <w:rPr>
          <w:rtl/>
        </w:rPr>
        <w:t xml:space="preserve"> </w:t>
      </w:r>
      <w:r w:rsidRPr="00531BD3">
        <w:rPr>
          <w:rFonts w:hint="eastAsia"/>
          <w:rtl/>
        </w:rPr>
        <w:t>מאפייניה</w:t>
      </w:r>
      <w:r w:rsidRPr="00531BD3">
        <w:rPr>
          <w:rtl/>
        </w:rPr>
        <w:t xml:space="preserve"> </w:t>
      </w:r>
      <w:r w:rsidRPr="00531BD3">
        <w:rPr>
          <w:rFonts w:hint="eastAsia"/>
          <w:rtl/>
        </w:rPr>
        <w:t>של</w:t>
      </w:r>
      <w:r w:rsidRPr="00531BD3">
        <w:rPr>
          <w:rtl/>
        </w:rPr>
        <w:t xml:space="preserve"> </w:t>
      </w:r>
      <w:r w:rsidRPr="00531BD3">
        <w:rPr>
          <w:rFonts w:hint="eastAsia"/>
          <w:rtl/>
        </w:rPr>
        <w:t>עבירת</w:t>
      </w:r>
      <w:r w:rsidRPr="00531BD3">
        <w:rPr>
          <w:rtl/>
        </w:rPr>
        <w:t xml:space="preserve"> </w:t>
      </w:r>
      <w:r w:rsidRPr="00531BD3">
        <w:rPr>
          <w:rFonts w:hint="eastAsia"/>
          <w:rtl/>
        </w:rPr>
        <w:t>המרמה</w:t>
      </w:r>
      <w:r w:rsidRPr="00531BD3">
        <w:rPr>
          <w:rtl/>
        </w:rPr>
        <w:t xml:space="preserve"> </w:t>
      </w:r>
      <w:r w:rsidRPr="00531BD3">
        <w:rPr>
          <w:rFonts w:hint="eastAsia"/>
          <w:rtl/>
        </w:rPr>
        <w:t>והפרת</w:t>
      </w:r>
      <w:r w:rsidRPr="00531BD3">
        <w:rPr>
          <w:rtl/>
        </w:rPr>
        <w:t xml:space="preserve"> </w:t>
      </w:r>
      <w:r w:rsidRPr="00531BD3">
        <w:rPr>
          <w:rFonts w:hint="eastAsia"/>
          <w:rtl/>
        </w:rPr>
        <w:t>אמונים</w:t>
      </w:r>
      <w:r w:rsidR="006276BF">
        <w:rPr>
          <w:rFonts w:hint="cs"/>
          <w:rtl/>
        </w:rPr>
        <w:t xml:space="preserve"> בתאגיד</w:t>
      </w:r>
      <w:r w:rsidRPr="00531BD3">
        <w:rPr>
          <w:rtl/>
        </w:rPr>
        <w:t xml:space="preserve">, </w:t>
      </w:r>
      <w:r w:rsidRPr="00531BD3">
        <w:rPr>
          <w:rFonts w:hint="eastAsia"/>
          <w:rtl/>
        </w:rPr>
        <w:t>העומדת</w:t>
      </w:r>
      <w:r w:rsidRPr="00531BD3">
        <w:rPr>
          <w:rtl/>
        </w:rPr>
        <w:t xml:space="preserve"> </w:t>
      </w:r>
      <w:r w:rsidRPr="00531BD3">
        <w:rPr>
          <w:rFonts w:hint="eastAsia"/>
          <w:rtl/>
        </w:rPr>
        <w:t>במוקד</w:t>
      </w:r>
      <w:r w:rsidRPr="00531BD3">
        <w:rPr>
          <w:rtl/>
        </w:rPr>
        <w:t xml:space="preserve"> </w:t>
      </w:r>
      <w:r w:rsidRPr="00531BD3">
        <w:rPr>
          <w:rFonts w:hint="eastAsia"/>
          <w:rtl/>
        </w:rPr>
        <w:t>כתב</w:t>
      </w:r>
      <w:r w:rsidRPr="00531BD3">
        <w:rPr>
          <w:rtl/>
        </w:rPr>
        <w:t xml:space="preserve"> </w:t>
      </w:r>
      <w:r w:rsidRPr="00531BD3">
        <w:rPr>
          <w:rFonts w:hint="eastAsia"/>
          <w:rtl/>
        </w:rPr>
        <w:t>האישום</w:t>
      </w:r>
      <w:r w:rsidRPr="00531BD3">
        <w:rPr>
          <w:rtl/>
        </w:rPr>
        <w:t xml:space="preserve">. </w:t>
      </w:r>
    </w:p>
    <w:p w:rsidR="008A4DD4" w:rsidRPr="00531BD3" w:rsidRDefault="008A4DD4" w:rsidP="008A4DD4">
      <w:pPr>
        <w:pStyle w:val="Ruller4"/>
        <w:numPr>
          <w:ilvl w:val="0"/>
          <w:numId w:val="0"/>
        </w:numPr>
      </w:pPr>
    </w:p>
    <w:p w:rsidR="008A4DD4" w:rsidRPr="00531BD3" w:rsidRDefault="008A4DD4" w:rsidP="008A4DD4">
      <w:pPr>
        <w:pStyle w:val="Ruller4"/>
        <w:rPr>
          <w:rtl/>
        </w:rPr>
      </w:pPr>
      <w:r w:rsidRPr="00531BD3">
        <w:rPr>
          <w:rFonts w:hint="eastAsia"/>
          <w:rtl/>
        </w:rPr>
        <w:t>בבסיס</w:t>
      </w:r>
      <w:r w:rsidRPr="00531BD3">
        <w:rPr>
          <w:rFonts w:hint="cs"/>
          <w:rtl/>
        </w:rPr>
        <w:t xml:space="preserve"> עבירה זו המעוגנת בסעיף 425 לחוק העונשין עומד בעיקר הרציונל הנועד "</w:t>
      </w:r>
      <w:r w:rsidRPr="00531BD3">
        <w:rPr>
          <w:rFonts w:hint="eastAsia"/>
          <w:rtl/>
        </w:rPr>
        <w:t>להבטיח</w:t>
      </w:r>
      <w:r w:rsidRPr="00531BD3">
        <w:rPr>
          <w:rtl/>
        </w:rPr>
        <w:t xml:space="preserve"> </w:t>
      </w:r>
      <w:r w:rsidRPr="00531BD3">
        <w:rPr>
          <w:rFonts w:hint="eastAsia"/>
          <w:rtl/>
        </w:rPr>
        <w:t>כי</w:t>
      </w:r>
      <w:r w:rsidRPr="00531BD3">
        <w:rPr>
          <w:rtl/>
        </w:rPr>
        <w:t xml:space="preserve"> </w:t>
      </w:r>
      <w:r w:rsidRPr="00531BD3">
        <w:rPr>
          <w:rFonts w:hint="eastAsia"/>
          <w:rtl/>
        </w:rPr>
        <w:t>מנהל</w:t>
      </w:r>
      <w:r w:rsidRPr="00531BD3">
        <w:rPr>
          <w:rtl/>
        </w:rPr>
        <w:t xml:space="preserve"> </w:t>
      </w:r>
      <w:r w:rsidRPr="00531BD3">
        <w:rPr>
          <w:rFonts w:hint="eastAsia"/>
          <w:rtl/>
        </w:rPr>
        <w:t>התאגיד</w:t>
      </w:r>
      <w:r w:rsidRPr="00531BD3">
        <w:rPr>
          <w:rtl/>
        </w:rPr>
        <w:t xml:space="preserve"> </w:t>
      </w:r>
      <w:r w:rsidRPr="00531BD3">
        <w:rPr>
          <w:rFonts w:hint="eastAsia"/>
          <w:rtl/>
        </w:rPr>
        <w:t>לא</w:t>
      </w:r>
      <w:r w:rsidRPr="00531BD3">
        <w:rPr>
          <w:rtl/>
        </w:rPr>
        <w:t xml:space="preserve"> </w:t>
      </w:r>
      <w:r w:rsidRPr="00531BD3">
        <w:rPr>
          <w:rFonts w:hint="eastAsia"/>
          <w:rtl/>
        </w:rPr>
        <w:t>ימעל</w:t>
      </w:r>
      <w:r w:rsidRPr="00531BD3">
        <w:rPr>
          <w:rtl/>
        </w:rPr>
        <w:t xml:space="preserve"> </w:t>
      </w:r>
      <w:r w:rsidRPr="00531BD3">
        <w:rPr>
          <w:rFonts w:hint="eastAsia"/>
          <w:rtl/>
        </w:rPr>
        <w:t>באמון</w:t>
      </w:r>
      <w:r w:rsidRPr="00531BD3">
        <w:rPr>
          <w:rtl/>
        </w:rPr>
        <w:t xml:space="preserve"> </w:t>
      </w:r>
      <w:r w:rsidRPr="00531BD3">
        <w:rPr>
          <w:rFonts w:hint="eastAsia"/>
          <w:rtl/>
        </w:rPr>
        <w:t>שניתן</w:t>
      </w:r>
      <w:r w:rsidRPr="00531BD3">
        <w:rPr>
          <w:rtl/>
        </w:rPr>
        <w:t xml:space="preserve"> </w:t>
      </w:r>
      <w:r w:rsidRPr="00531BD3">
        <w:rPr>
          <w:rFonts w:hint="eastAsia"/>
          <w:rtl/>
        </w:rPr>
        <w:t>בו</w:t>
      </w:r>
      <w:r w:rsidRPr="00531BD3">
        <w:rPr>
          <w:rtl/>
        </w:rPr>
        <w:t xml:space="preserve"> </w:t>
      </w:r>
      <w:r w:rsidRPr="00531BD3">
        <w:rPr>
          <w:rFonts w:hint="eastAsia"/>
          <w:rtl/>
        </w:rPr>
        <w:t>ויפעל</w:t>
      </w:r>
      <w:r w:rsidRPr="00531BD3">
        <w:rPr>
          <w:rtl/>
        </w:rPr>
        <w:t xml:space="preserve"> </w:t>
      </w:r>
      <w:r w:rsidRPr="00531BD3">
        <w:rPr>
          <w:rFonts w:hint="eastAsia"/>
          <w:rtl/>
        </w:rPr>
        <w:t>להגשמת</w:t>
      </w:r>
      <w:r w:rsidRPr="00531BD3">
        <w:rPr>
          <w:rtl/>
        </w:rPr>
        <w:t xml:space="preserve"> </w:t>
      </w:r>
      <w:r w:rsidRPr="00531BD3">
        <w:rPr>
          <w:rFonts w:hint="eastAsia"/>
          <w:rtl/>
        </w:rPr>
        <w:t>תפקידו</w:t>
      </w:r>
      <w:r w:rsidRPr="00531BD3">
        <w:rPr>
          <w:rFonts w:hint="cs"/>
          <w:rtl/>
        </w:rPr>
        <w:t xml:space="preserve">" (ראו: </w:t>
      </w:r>
      <w:r w:rsidRPr="00531BD3">
        <w:rPr>
          <w:rFonts w:hint="eastAsia"/>
          <w:rtl/>
        </w:rPr>
        <w:t>ע</w:t>
      </w:r>
      <w:r w:rsidRPr="00531BD3">
        <w:rPr>
          <w:rtl/>
        </w:rPr>
        <w:t>"</w:t>
      </w:r>
      <w:r w:rsidRPr="00531BD3">
        <w:rPr>
          <w:rFonts w:hint="eastAsia"/>
          <w:rtl/>
        </w:rPr>
        <w:t>פ</w:t>
      </w:r>
      <w:r w:rsidRPr="00531BD3">
        <w:rPr>
          <w:rFonts w:hint="cs"/>
          <w:rtl/>
        </w:rPr>
        <w:t xml:space="preserve"> 121/88</w:t>
      </w:r>
      <w:r w:rsidRPr="00531BD3">
        <w:rPr>
          <w:rtl/>
        </w:rPr>
        <w:t xml:space="preserve"> </w:t>
      </w:r>
      <w:r w:rsidRPr="00531BD3">
        <w:rPr>
          <w:rFonts w:cs="Miriam" w:hint="eastAsia"/>
          <w:b/>
          <w:spacing w:val="0"/>
          <w:szCs w:val="24"/>
          <w:rtl/>
        </w:rPr>
        <w:t>מדינת</w:t>
      </w:r>
      <w:r w:rsidRPr="00531BD3">
        <w:rPr>
          <w:rFonts w:cs="Miriam"/>
          <w:b/>
          <w:spacing w:val="0"/>
          <w:szCs w:val="24"/>
          <w:rtl/>
        </w:rPr>
        <w:t xml:space="preserve"> </w:t>
      </w:r>
      <w:r w:rsidRPr="00531BD3">
        <w:rPr>
          <w:rFonts w:cs="Miriam" w:hint="eastAsia"/>
          <w:b/>
          <w:spacing w:val="0"/>
          <w:szCs w:val="24"/>
          <w:rtl/>
        </w:rPr>
        <w:t>ישראל</w:t>
      </w:r>
      <w:r w:rsidRPr="00531BD3">
        <w:rPr>
          <w:rFonts w:cs="Miriam"/>
          <w:b/>
          <w:spacing w:val="0"/>
          <w:szCs w:val="24"/>
          <w:rtl/>
        </w:rPr>
        <w:t xml:space="preserve"> </w:t>
      </w:r>
      <w:r w:rsidRPr="00531BD3">
        <w:rPr>
          <w:rFonts w:cs="Miriam" w:hint="eastAsia"/>
          <w:b/>
          <w:spacing w:val="0"/>
          <w:szCs w:val="24"/>
          <w:rtl/>
        </w:rPr>
        <w:t>נ</w:t>
      </w:r>
      <w:r w:rsidRPr="00531BD3">
        <w:rPr>
          <w:rFonts w:cs="Miriam"/>
          <w:b/>
          <w:spacing w:val="0"/>
          <w:szCs w:val="24"/>
          <w:rtl/>
        </w:rPr>
        <w:t xml:space="preserve">' </w:t>
      </w:r>
      <w:r w:rsidRPr="00531BD3">
        <w:rPr>
          <w:rFonts w:cs="Miriam" w:hint="eastAsia"/>
          <w:b/>
          <w:spacing w:val="0"/>
          <w:szCs w:val="24"/>
          <w:rtl/>
        </w:rPr>
        <w:t>דרוויש</w:t>
      </w:r>
      <w:r w:rsidRPr="00531BD3">
        <w:rPr>
          <w:rtl/>
        </w:rPr>
        <w:t xml:space="preserve">, </w:t>
      </w:r>
      <w:r w:rsidRPr="00531BD3">
        <w:rPr>
          <w:rFonts w:hint="eastAsia"/>
          <w:rtl/>
        </w:rPr>
        <w:t>פ</w:t>
      </w:r>
      <w:r w:rsidRPr="00531BD3">
        <w:rPr>
          <w:rtl/>
        </w:rPr>
        <w:t>"</w:t>
      </w:r>
      <w:r w:rsidRPr="00531BD3">
        <w:rPr>
          <w:rFonts w:hint="eastAsia"/>
          <w:rtl/>
        </w:rPr>
        <w:t>ד</w:t>
      </w:r>
      <w:r w:rsidRPr="00531BD3">
        <w:rPr>
          <w:rtl/>
        </w:rPr>
        <w:t xml:space="preserve"> </w:t>
      </w:r>
      <w:r w:rsidRPr="00531BD3">
        <w:rPr>
          <w:rFonts w:hint="eastAsia"/>
          <w:rtl/>
        </w:rPr>
        <w:t>מה</w:t>
      </w:r>
      <w:r w:rsidRPr="00531BD3">
        <w:rPr>
          <w:rtl/>
        </w:rPr>
        <w:t>(2) 663, 69</w:t>
      </w:r>
      <w:r w:rsidRPr="00531BD3">
        <w:rPr>
          <w:rFonts w:hint="cs"/>
          <w:rtl/>
        </w:rPr>
        <w:t>2</w:t>
      </w:r>
      <w:r w:rsidRPr="00531BD3">
        <w:rPr>
          <w:rtl/>
        </w:rPr>
        <w:t xml:space="preserve"> (1991)). </w:t>
      </w:r>
      <w:r w:rsidRPr="00531BD3">
        <w:rPr>
          <w:rFonts w:hint="eastAsia"/>
          <w:rtl/>
        </w:rPr>
        <w:t>זאת</w:t>
      </w:r>
      <w:r w:rsidRPr="00531BD3">
        <w:rPr>
          <w:rtl/>
        </w:rPr>
        <w:t xml:space="preserve"> </w:t>
      </w:r>
      <w:r w:rsidRPr="00531BD3">
        <w:rPr>
          <w:rFonts w:hint="eastAsia"/>
          <w:rtl/>
        </w:rPr>
        <w:t>כאשר</w:t>
      </w:r>
      <w:r w:rsidRPr="00531BD3">
        <w:rPr>
          <w:rtl/>
        </w:rPr>
        <w:t xml:space="preserve"> </w:t>
      </w:r>
      <w:r w:rsidRPr="00531BD3">
        <w:rPr>
          <w:rFonts w:hint="eastAsia"/>
          <w:rtl/>
        </w:rPr>
        <w:t>הובהר</w:t>
      </w:r>
      <w:r w:rsidRPr="00531BD3">
        <w:rPr>
          <w:rtl/>
        </w:rPr>
        <w:t xml:space="preserve"> </w:t>
      </w:r>
      <w:r w:rsidRPr="00531BD3">
        <w:rPr>
          <w:rFonts w:hint="eastAsia"/>
          <w:rtl/>
        </w:rPr>
        <w:t>כי</w:t>
      </w:r>
      <w:r w:rsidRPr="00531BD3">
        <w:rPr>
          <w:rtl/>
        </w:rPr>
        <w:t xml:space="preserve"> </w:t>
      </w:r>
      <w:r w:rsidRPr="00531BD3">
        <w:rPr>
          <w:rFonts w:hint="eastAsia"/>
          <w:rtl/>
        </w:rPr>
        <w:t>המונח</w:t>
      </w:r>
      <w:r w:rsidRPr="00531BD3">
        <w:rPr>
          <w:rtl/>
        </w:rPr>
        <w:t xml:space="preserve"> "</w:t>
      </w:r>
      <w:r w:rsidRPr="00531BD3">
        <w:rPr>
          <w:rFonts w:hint="eastAsia"/>
          <w:rtl/>
        </w:rPr>
        <w:t>מנהל</w:t>
      </w:r>
      <w:r w:rsidRPr="00531BD3">
        <w:rPr>
          <w:rtl/>
        </w:rPr>
        <w:t xml:space="preserve">" </w:t>
      </w:r>
      <w:r w:rsidRPr="00531BD3">
        <w:rPr>
          <w:rFonts w:hint="eastAsia"/>
          <w:rtl/>
        </w:rPr>
        <w:t>שבסעיף</w:t>
      </w:r>
      <w:r w:rsidRPr="00531BD3">
        <w:rPr>
          <w:rtl/>
        </w:rPr>
        <w:t xml:space="preserve"> </w:t>
      </w:r>
      <w:r w:rsidRPr="00531BD3">
        <w:rPr>
          <w:rFonts w:hint="eastAsia"/>
          <w:rtl/>
        </w:rPr>
        <w:t>האמור</w:t>
      </w:r>
      <w:r w:rsidRPr="00531BD3">
        <w:rPr>
          <w:rtl/>
        </w:rPr>
        <w:t xml:space="preserve"> </w:t>
      </w:r>
      <w:r w:rsidRPr="00531BD3">
        <w:rPr>
          <w:rFonts w:hint="eastAsia"/>
          <w:rtl/>
        </w:rPr>
        <w:t>כולל</w:t>
      </w:r>
      <w:r w:rsidRPr="00531BD3">
        <w:rPr>
          <w:rtl/>
        </w:rPr>
        <w:t xml:space="preserve"> </w:t>
      </w:r>
      <w:r w:rsidRPr="00531BD3">
        <w:rPr>
          <w:rFonts w:hint="eastAsia"/>
          <w:rtl/>
        </w:rPr>
        <w:t>גם</w:t>
      </w:r>
      <w:r w:rsidRPr="00531BD3">
        <w:rPr>
          <w:rtl/>
        </w:rPr>
        <w:t xml:space="preserve"> </w:t>
      </w:r>
      <w:r w:rsidRPr="00531BD3">
        <w:rPr>
          <w:rFonts w:hint="eastAsia"/>
          <w:rtl/>
        </w:rPr>
        <w:t>דירקטור</w:t>
      </w:r>
      <w:r w:rsidRPr="00531BD3">
        <w:rPr>
          <w:rtl/>
        </w:rPr>
        <w:t xml:space="preserve"> </w:t>
      </w:r>
      <w:r w:rsidRPr="00531BD3">
        <w:rPr>
          <w:rFonts w:hint="eastAsia"/>
          <w:rtl/>
        </w:rPr>
        <w:t>בחברה</w:t>
      </w:r>
      <w:r w:rsidRPr="00531BD3">
        <w:rPr>
          <w:rtl/>
        </w:rPr>
        <w:t xml:space="preserve">, </w:t>
      </w:r>
      <w:r w:rsidRPr="00531BD3">
        <w:rPr>
          <w:rFonts w:hint="eastAsia"/>
          <w:rtl/>
        </w:rPr>
        <w:t>ואף</w:t>
      </w:r>
      <w:r w:rsidRPr="00531BD3">
        <w:rPr>
          <w:rtl/>
        </w:rPr>
        <w:t xml:space="preserve"> </w:t>
      </w:r>
      <w:r w:rsidRPr="00531BD3">
        <w:rPr>
          <w:rFonts w:hint="eastAsia"/>
          <w:rtl/>
        </w:rPr>
        <w:t>אם</w:t>
      </w:r>
      <w:r w:rsidRPr="00531BD3">
        <w:rPr>
          <w:rtl/>
        </w:rPr>
        <w:t xml:space="preserve"> </w:t>
      </w:r>
      <w:r w:rsidRPr="00531BD3">
        <w:rPr>
          <w:rFonts w:hint="eastAsia"/>
          <w:rtl/>
        </w:rPr>
        <w:t>אינו</w:t>
      </w:r>
      <w:r w:rsidRPr="00531BD3">
        <w:rPr>
          <w:rtl/>
        </w:rPr>
        <w:t xml:space="preserve"> </w:t>
      </w:r>
      <w:r w:rsidRPr="00531BD3">
        <w:rPr>
          <w:rFonts w:hint="eastAsia"/>
          <w:rtl/>
        </w:rPr>
        <w:t>דירקטור</w:t>
      </w:r>
      <w:r w:rsidRPr="00531BD3">
        <w:rPr>
          <w:rtl/>
        </w:rPr>
        <w:t xml:space="preserve"> "</w:t>
      </w:r>
      <w:r w:rsidRPr="00531BD3">
        <w:rPr>
          <w:rFonts w:hint="eastAsia"/>
          <w:rtl/>
        </w:rPr>
        <w:t>פעיל</w:t>
      </w:r>
      <w:r w:rsidRPr="00531BD3">
        <w:rPr>
          <w:rtl/>
        </w:rPr>
        <w:t>" (</w:t>
      </w:r>
      <w:r w:rsidRPr="00531BD3">
        <w:rPr>
          <w:rFonts w:hint="eastAsia"/>
          <w:rtl/>
        </w:rPr>
        <w:t>ע</w:t>
      </w:r>
      <w:r w:rsidRPr="00531BD3">
        <w:rPr>
          <w:rtl/>
        </w:rPr>
        <w:t>"</w:t>
      </w:r>
      <w:r w:rsidRPr="00531BD3">
        <w:rPr>
          <w:rFonts w:hint="eastAsia"/>
          <w:rtl/>
        </w:rPr>
        <w:t>פ</w:t>
      </w:r>
      <w:r w:rsidRPr="00531BD3">
        <w:rPr>
          <w:rtl/>
        </w:rPr>
        <w:t xml:space="preserve"> 2103/07 </w:t>
      </w:r>
      <w:r w:rsidRPr="00531BD3">
        <w:rPr>
          <w:rFonts w:cs="Miriam" w:hint="eastAsia"/>
          <w:b/>
          <w:spacing w:val="0"/>
          <w:szCs w:val="24"/>
          <w:rtl/>
        </w:rPr>
        <w:t>הורוביץ</w:t>
      </w:r>
      <w:r w:rsidRPr="00531BD3">
        <w:rPr>
          <w:rFonts w:cs="Miriam"/>
          <w:b/>
          <w:spacing w:val="0"/>
          <w:szCs w:val="24"/>
          <w:rtl/>
        </w:rPr>
        <w:t xml:space="preserve"> </w:t>
      </w:r>
      <w:r w:rsidRPr="00531BD3">
        <w:rPr>
          <w:rFonts w:cs="Miriam" w:hint="eastAsia"/>
          <w:b/>
          <w:spacing w:val="0"/>
          <w:szCs w:val="24"/>
          <w:rtl/>
        </w:rPr>
        <w:t>נ</w:t>
      </w:r>
      <w:r w:rsidRPr="00531BD3">
        <w:rPr>
          <w:rFonts w:cs="Miriam"/>
          <w:b/>
          <w:spacing w:val="0"/>
          <w:szCs w:val="24"/>
          <w:rtl/>
        </w:rPr>
        <w:t xml:space="preserve">' </w:t>
      </w:r>
      <w:r w:rsidRPr="00531BD3">
        <w:rPr>
          <w:rFonts w:cs="Miriam" w:hint="eastAsia"/>
          <w:b/>
          <w:spacing w:val="0"/>
          <w:szCs w:val="24"/>
          <w:rtl/>
        </w:rPr>
        <w:t>מדינת</w:t>
      </w:r>
      <w:r w:rsidRPr="00531BD3">
        <w:rPr>
          <w:rFonts w:cs="Miriam"/>
          <w:b/>
          <w:spacing w:val="0"/>
          <w:szCs w:val="24"/>
          <w:rtl/>
        </w:rPr>
        <w:t xml:space="preserve"> </w:t>
      </w:r>
      <w:r w:rsidRPr="00531BD3">
        <w:rPr>
          <w:rFonts w:cs="Miriam" w:hint="eastAsia"/>
          <w:b/>
          <w:spacing w:val="0"/>
          <w:szCs w:val="24"/>
          <w:rtl/>
        </w:rPr>
        <w:t>ישראל</w:t>
      </w:r>
      <w:r w:rsidRPr="00531BD3">
        <w:rPr>
          <w:rtl/>
        </w:rPr>
        <w:t xml:space="preserve">, </w:t>
      </w:r>
      <w:r w:rsidRPr="00531BD3">
        <w:rPr>
          <w:rFonts w:hint="eastAsia"/>
          <w:rtl/>
        </w:rPr>
        <w:t>פסקאות</w:t>
      </w:r>
      <w:r w:rsidRPr="00531BD3">
        <w:rPr>
          <w:rtl/>
        </w:rPr>
        <w:t xml:space="preserve"> 195-189 (31.12.2008) (</w:t>
      </w:r>
      <w:r w:rsidRPr="00531BD3">
        <w:rPr>
          <w:rFonts w:hint="eastAsia"/>
          <w:rtl/>
        </w:rPr>
        <w:t>להלן</w:t>
      </w:r>
      <w:r w:rsidRPr="00531BD3">
        <w:rPr>
          <w:rtl/>
        </w:rPr>
        <w:t xml:space="preserve">: </w:t>
      </w:r>
      <w:r w:rsidRPr="00531BD3">
        <w:rPr>
          <w:rFonts w:hint="eastAsia"/>
          <w:rtl/>
        </w:rPr>
        <w:t>עניין</w:t>
      </w:r>
      <w:r w:rsidRPr="00531BD3">
        <w:rPr>
          <w:rtl/>
        </w:rPr>
        <w:t xml:space="preserve"> </w:t>
      </w:r>
      <w:r w:rsidRPr="00531BD3">
        <w:rPr>
          <w:rFonts w:cs="Miriam" w:hint="eastAsia"/>
          <w:b/>
          <w:spacing w:val="0"/>
          <w:szCs w:val="24"/>
          <w:rtl/>
        </w:rPr>
        <w:t>הורוביץ</w:t>
      </w:r>
      <w:r w:rsidRPr="00531BD3">
        <w:rPr>
          <w:rtl/>
        </w:rPr>
        <w:t xml:space="preserve">)). </w:t>
      </w:r>
      <w:r w:rsidRPr="00531BD3">
        <w:rPr>
          <w:rFonts w:hint="eastAsia"/>
          <w:rtl/>
        </w:rPr>
        <w:t>הערכים</w:t>
      </w:r>
      <w:r w:rsidRPr="00531BD3">
        <w:rPr>
          <w:rtl/>
        </w:rPr>
        <w:t xml:space="preserve"> </w:t>
      </w:r>
      <w:r w:rsidRPr="00531BD3">
        <w:rPr>
          <w:rFonts w:hint="eastAsia"/>
          <w:rtl/>
        </w:rPr>
        <w:t>החברתיים</w:t>
      </w:r>
      <w:r w:rsidRPr="00531BD3">
        <w:rPr>
          <w:rtl/>
        </w:rPr>
        <w:t xml:space="preserve"> </w:t>
      </w:r>
      <w:r w:rsidRPr="00531BD3">
        <w:rPr>
          <w:rFonts w:hint="eastAsia"/>
          <w:rtl/>
        </w:rPr>
        <w:t>המוגנים</w:t>
      </w:r>
      <w:r w:rsidRPr="00531BD3">
        <w:rPr>
          <w:rtl/>
        </w:rPr>
        <w:t xml:space="preserve"> </w:t>
      </w:r>
      <w:r w:rsidRPr="00531BD3">
        <w:rPr>
          <w:rFonts w:hint="eastAsia"/>
          <w:rtl/>
        </w:rPr>
        <w:t>העומדים</w:t>
      </w:r>
      <w:r w:rsidRPr="00531BD3">
        <w:rPr>
          <w:rtl/>
        </w:rPr>
        <w:t xml:space="preserve"> </w:t>
      </w:r>
      <w:r w:rsidRPr="00531BD3">
        <w:rPr>
          <w:rFonts w:hint="eastAsia"/>
          <w:rtl/>
        </w:rPr>
        <w:t>בבסיס</w:t>
      </w:r>
      <w:r w:rsidRPr="00531BD3">
        <w:rPr>
          <w:rtl/>
        </w:rPr>
        <w:t xml:space="preserve"> </w:t>
      </w:r>
      <w:r w:rsidRPr="00531BD3">
        <w:rPr>
          <w:rFonts w:hint="eastAsia"/>
          <w:rtl/>
        </w:rPr>
        <w:t>הסעיף</w:t>
      </w:r>
      <w:r w:rsidRPr="00531BD3">
        <w:rPr>
          <w:rtl/>
        </w:rPr>
        <w:t xml:space="preserve"> </w:t>
      </w:r>
      <w:r w:rsidRPr="00531BD3">
        <w:rPr>
          <w:rFonts w:hint="eastAsia"/>
          <w:rtl/>
        </w:rPr>
        <w:t>מתייחסים</w:t>
      </w:r>
      <w:r w:rsidRPr="00531BD3">
        <w:rPr>
          <w:rtl/>
        </w:rPr>
        <w:t xml:space="preserve"> </w:t>
      </w:r>
      <w:r w:rsidRPr="00531BD3">
        <w:rPr>
          <w:rFonts w:hint="eastAsia"/>
          <w:rtl/>
        </w:rPr>
        <w:t>בעיקר</w:t>
      </w:r>
      <w:r w:rsidRPr="00531BD3">
        <w:rPr>
          <w:rtl/>
        </w:rPr>
        <w:t xml:space="preserve"> </w:t>
      </w:r>
      <w:r w:rsidRPr="00531BD3">
        <w:rPr>
          <w:rFonts w:hint="eastAsia"/>
          <w:rtl/>
        </w:rPr>
        <w:t>לפעילותם</w:t>
      </w:r>
      <w:r w:rsidRPr="00531BD3">
        <w:rPr>
          <w:rtl/>
        </w:rPr>
        <w:t xml:space="preserve"> </w:t>
      </w:r>
      <w:r w:rsidRPr="00531BD3">
        <w:rPr>
          <w:rFonts w:hint="eastAsia"/>
          <w:rtl/>
        </w:rPr>
        <w:t>של</w:t>
      </w:r>
      <w:r w:rsidRPr="00531BD3">
        <w:rPr>
          <w:rtl/>
        </w:rPr>
        <w:t xml:space="preserve"> </w:t>
      </w:r>
      <w:r w:rsidRPr="00531BD3">
        <w:rPr>
          <w:rFonts w:hint="eastAsia"/>
          <w:rtl/>
        </w:rPr>
        <w:t>בעלי</w:t>
      </w:r>
      <w:r w:rsidRPr="00531BD3">
        <w:rPr>
          <w:rtl/>
        </w:rPr>
        <w:t xml:space="preserve"> </w:t>
      </w:r>
      <w:r w:rsidRPr="00531BD3">
        <w:rPr>
          <w:rFonts w:hint="eastAsia"/>
          <w:rtl/>
        </w:rPr>
        <w:t>תפקידים</w:t>
      </w:r>
      <w:r w:rsidRPr="00531BD3">
        <w:rPr>
          <w:rtl/>
        </w:rPr>
        <w:t xml:space="preserve"> </w:t>
      </w:r>
      <w:r w:rsidRPr="00531BD3">
        <w:rPr>
          <w:rFonts w:hint="eastAsia"/>
          <w:rtl/>
        </w:rPr>
        <w:t>בכירים</w:t>
      </w:r>
      <w:r w:rsidRPr="00531BD3">
        <w:rPr>
          <w:rtl/>
        </w:rPr>
        <w:t xml:space="preserve"> </w:t>
      </w:r>
      <w:r w:rsidRPr="00531BD3">
        <w:rPr>
          <w:rFonts w:hint="eastAsia"/>
          <w:rtl/>
        </w:rPr>
        <w:t>בחברה</w:t>
      </w:r>
      <w:r w:rsidRPr="00531BD3">
        <w:rPr>
          <w:rtl/>
        </w:rPr>
        <w:t xml:space="preserve">, </w:t>
      </w:r>
      <w:r w:rsidRPr="00531BD3">
        <w:rPr>
          <w:rFonts w:hint="eastAsia"/>
          <w:rtl/>
        </w:rPr>
        <w:t>שכן</w:t>
      </w:r>
      <w:r w:rsidRPr="00531BD3">
        <w:rPr>
          <w:rtl/>
        </w:rPr>
        <w:t xml:space="preserve"> </w:t>
      </w:r>
      <w:r w:rsidRPr="00531BD3">
        <w:rPr>
          <w:rFonts w:hint="eastAsia"/>
          <w:rtl/>
        </w:rPr>
        <w:t>על</w:t>
      </w:r>
      <w:r w:rsidRPr="00531BD3">
        <w:rPr>
          <w:rtl/>
        </w:rPr>
        <w:t xml:space="preserve"> </w:t>
      </w:r>
      <w:r w:rsidRPr="00531BD3">
        <w:rPr>
          <w:rFonts w:hint="eastAsia"/>
          <w:rtl/>
        </w:rPr>
        <w:t>אף</w:t>
      </w:r>
      <w:r w:rsidRPr="00531BD3">
        <w:rPr>
          <w:rtl/>
        </w:rPr>
        <w:t xml:space="preserve"> </w:t>
      </w:r>
      <w:r w:rsidRPr="00531BD3">
        <w:rPr>
          <w:rFonts w:hint="eastAsia"/>
          <w:rtl/>
        </w:rPr>
        <w:t>שסעיף</w:t>
      </w:r>
      <w:r w:rsidRPr="00531BD3">
        <w:rPr>
          <w:rtl/>
        </w:rPr>
        <w:t xml:space="preserve"> 425 </w:t>
      </w:r>
      <w:r w:rsidRPr="00531BD3">
        <w:rPr>
          <w:rFonts w:hint="eastAsia"/>
          <w:rtl/>
        </w:rPr>
        <w:t>לחוק</w:t>
      </w:r>
      <w:r w:rsidRPr="00531BD3">
        <w:rPr>
          <w:rtl/>
        </w:rPr>
        <w:t xml:space="preserve"> </w:t>
      </w:r>
      <w:r w:rsidRPr="00531BD3">
        <w:rPr>
          <w:rFonts w:hint="eastAsia"/>
          <w:rtl/>
        </w:rPr>
        <w:t>העונשין</w:t>
      </w:r>
      <w:r w:rsidRPr="00531BD3">
        <w:rPr>
          <w:rtl/>
        </w:rPr>
        <w:t xml:space="preserve"> </w:t>
      </w:r>
      <w:r w:rsidRPr="00531BD3">
        <w:rPr>
          <w:rFonts w:hint="eastAsia"/>
          <w:rtl/>
        </w:rPr>
        <w:t>עשוי</w:t>
      </w:r>
      <w:r w:rsidRPr="00531BD3">
        <w:rPr>
          <w:rtl/>
        </w:rPr>
        <w:t xml:space="preserve"> </w:t>
      </w:r>
      <w:r w:rsidRPr="00531BD3">
        <w:rPr>
          <w:rFonts w:hint="eastAsia"/>
          <w:rtl/>
        </w:rPr>
        <w:t>לחול</w:t>
      </w:r>
      <w:r w:rsidRPr="00531BD3">
        <w:rPr>
          <w:rtl/>
        </w:rPr>
        <w:t xml:space="preserve"> </w:t>
      </w:r>
      <w:r w:rsidRPr="00531BD3">
        <w:rPr>
          <w:rFonts w:hint="eastAsia"/>
          <w:rtl/>
        </w:rPr>
        <w:t>גם</w:t>
      </w:r>
      <w:r w:rsidRPr="00531BD3">
        <w:rPr>
          <w:rtl/>
        </w:rPr>
        <w:t xml:space="preserve"> </w:t>
      </w:r>
      <w:r w:rsidRPr="00531BD3">
        <w:rPr>
          <w:rFonts w:hint="eastAsia"/>
          <w:rtl/>
        </w:rPr>
        <w:t>על</w:t>
      </w:r>
      <w:r w:rsidRPr="00531BD3">
        <w:rPr>
          <w:rtl/>
        </w:rPr>
        <w:t xml:space="preserve"> </w:t>
      </w:r>
      <w:r w:rsidRPr="00531BD3">
        <w:rPr>
          <w:rFonts w:hint="eastAsia"/>
          <w:rtl/>
        </w:rPr>
        <w:t>עובדים</w:t>
      </w:r>
      <w:r w:rsidRPr="00531BD3">
        <w:rPr>
          <w:rtl/>
        </w:rPr>
        <w:t xml:space="preserve"> </w:t>
      </w:r>
      <w:r w:rsidRPr="00531BD3">
        <w:rPr>
          <w:rFonts w:hint="eastAsia"/>
          <w:rtl/>
        </w:rPr>
        <w:t>זוטרים</w:t>
      </w:r>
      <w:r w:rsidRPr="00531BD3">
        <w:rPr>
          <w:rtl/>
        </w:rPr>
        <w:t xml:space="preserve">, </w:t>
      </w:r>
      <w:r w:rsidRPr="00531BD3">
        <w:rPr>
          <w:rFonts w:hint="eastAsia"/>
          <w:rtl/>
        </w:rPr>
        <w:t>בכירותו</w:t>
      </w:r>
      <w:r w:rsidRPr="00531BD3">
        <w:rPr>
          <w:rtl/>
        </w:rPr>
        <w:t xml:space="preserve"> </w:t>
      </w:r>
      <w:r w:rsidRPr="00531BD3">
        <w:rPr>
          <w:rFonts w:hint="eastAsia"/>
          <w:rtl/>
        </w:rPr>
        <w:t>של</w:t>
      </w:r>
      <w:r w:rsidRPr="00531BD3">
        <w:rPr>
          <w:rtl/>
        </w:rPr>
        <w:t xml:space="preserve"> </w:t>
      </w:r>
      <w:r w:rsidRPr="00531BD3">
        <w:rPr>
          <w:rFonts w:hint="eastAsia"/>
          <w:rtl/>
        </w:rPr>
        <w:t>עובד</w:t>
      </w:r>
      <w:r w:rsidRPr="00531BD3">
        <w:rPr>
          <w:rtl/>
        </w:rPr>
        <w:t xml:space="preserve"> </w:t>
      </w:r>
      <w:r w:rsidRPr="00531BD3">
        <w:rPr>
          <w:rFonts w:hint="eastAsia"/>
          <w:rtl/>
        </w:rPr>
        <w:t>עשויה</w:t>
      </w:r>
      <w:r w:rsidRPr="00531BD3">
        <w:rPr>
          <w:rtl/>
        </w:rPr>
        <w:t xml:space="preserve"> </w:t>
      </w:r>
      <w:r w:rsidRPr="00531BD3">
        <w:rPr>
          <w:rFonts w:hint="eastAsia"/>
          <w:rtl/>
        </w:rPr>
        <w:t>לעצב</w:t>
      </w:r>
      <w:r w:rsidRPr="00531BD3">
        <w:rPr>
          <w:rtl/>
        </w:rPr>
        <w:t xml:space="preserve"> </w:t>
      </w:r>
      <w:r w:rsidRPr="00531BD3">
        <w:rPr>
          <w:rFonts w:hint="eastAsia"/>
          <w:rtl/>
        </w:rPr>
        <w:t>באופן</w:t>
      </w:r>
      <w:r w:rsidRPr="00531BD3">
        <w:rPr>
          <w:rtl/>
        </w:rPr>
        <w:t xml:space="preserve"> </w:t>
      </w:r>
      <w:r w:rsidRPr="00531BD3">
        <w:rPr>
          <w:rFonts w:hint="eastAsia"/>
          <w:rtl/>
        </w:rPr>
        <w:t>שונה</w:t>
      </w:r>
      <w:r w:rsidRPr="00531BD3">
        <w:rPr>
          <w:rtl/>
        </w:rPr>
        <w:t xml:space="preserve"> </w:t>
      </w:r>
      <w:r w:rsidRPr="00531BD3">
        <w:rPr>
          <w:rFonts w:hint="eastAsia"/>
          <w:rtl/>
        </w:rPr>
        <w:t>את</w:t>
      </w:r>
      <w:r w:rsidRPr="00531BD3">
        <w:rPr>
          <w:rtl/>
        </w:rPr>
        <w:t xml:space="preserve"> </w:t>
      </w:r>
      <w:r w:rsidRPr="00531BD3">
        <w:rPr>
          <w:rFonts w:hint="eastAsia"/>
          <w:rtl/>
        </w:rPr>
        <w:t>מידת</w:t>
      </w:r>
      <w:r w:rsidRPr="00531BD3">
        <w:rPr>
          <w:rtl/>
        </w:rPr>
        <w:t xml:space="preserve"> </w:t>
      </w:r>
      <w:r w:rsidRPr="00531BD3">
        <w:rPr>
          <w:rFonts w:hint="eastAsia"/>
          <w:rtl/>
        </w:rPr>
        <w:t>האמון</w:t>
      </w:r>
      <w:r w:rsidRPr="00531BD3">
        <w:rPr>
          <w:rtl/>
        </w:rPr>
        <w:t xml:space="preserve"> </w:t>
      </w:r>
      <w:r w:rsidRPr="00531BD3">
        <w:rPr>
          <w:rFonts w:hint="eastAsia"/>
          <w:rtl/>
        </w:rPr>
        <w:t>שהוא</w:t>
      </w:r>
      <w:r w:rsidRPr="00531BD3">
        <w:rPr>
          <w:rtl/>
        </w:rPr>
        <w:t xml:space="preserve"> </w:t>
      </w:r>
      <w:r w:rsidRPr="00531BD3">
        <w:rPr>
          <w:rFonts w:hint="eastAsia"/>
          <w:rtl/>
        </w:rPr>
        <w:t>חב</w:t>
      </w:r>
      <w:r w:rsidRPr="00531BD3">
        <w:rPr>
          <w:rtl/>
        </w:rPr>
        <w:t xml:space="preserve"> </w:t>
      </w:r>
      <w:r w:rsidRPr="00531BD3">
        <w:rPr>
          <w:rFonts w:hint="eastAsia"/>
          <w:rtl/>
        </w:rPr>
        <w:t>כלפי</w:t>
      </w:r>
      <w:r w:rsidRPr="00531BD3">
        <w:rPr>
          <w:rtl/>
        </w:rPr>
        <w:t xml:space="preserve"> </w:t>
      </w:r>
      <w:r w:rsidRPr="00531BD3">
        <w:rPr>
          <w:rFonts w:hint="eastAsia"/>
          <w:rtl/>
        </w:rPr>
        <w:t>החברה</w:t>
      </w:r>
      <w:r w:rsidRPr="00531BD3">
        <w:rPr>
          <w:rtl/>
        </w:rPr>
        <w:t xml:space="preserve"> (</w:t>
      </w:r>
      <w:r w:rsidRPr="00531BD3">
        <w:rPr>
          <w:rFonts w:hint="eastAsia"/>
          <w:rtl/>
        </w:rPr>
        <w:t>ראו</w:t>
      </w:r>
      <w:r w:rsidRPr="00531BD3">
        <w:rPr>
          <w:rtl/>
        </w:rPr>
        <w:t xml:space="preserve"> </w:t>
      </w:r>
      <w:r w:rsidRPr="00531BD3">
        <w:rPr>
          <w:rFonts w:hint="eastAsia"/>
          <w:rtl/>
        </w:rPr>
        <w:t>למשל</w:t>
      </w:r>
      <w:r w:rsidRPr="00531BD3">
        <w:rPr>
          <w:rtl/>
        </w:rPr>
        <w:t xml:space="preserve">: </w:t>
      </w:r>
      <w:r w:rsidRPr="00531BD3">
        <w:rPr>
          <w:rFonts w:hint="eastAsia"/>
          <w:rtl/>
        </w:rPr>
        <w:t>עניין</w:t>
      </w:r>
      <w:r w:rsidRPr="00531BD3">
        <w:rPr>
          <w:rtl/>
        </w:rPr>
        <w:t xml:space="preserve"> </w:t>
      </w:r>
      <w:proofErr w:type="spellStart"/>
      <w:r w:rsidRPr="00531BD3">
        <w:rPr>
          <w:rFonts w:cs="Miriam" w:hint="eastAsia"/>
          <w:b/>
          <w:spacing w:val="0"/>
          <w:szCs w:val="24"/>
          <w:rtl/>
        </w:rPr>
        <w:t>טטרו</w:t>
      </w:r>
      <w:proofErr w:type="spellEnd"/>
      <w:r w:rsidRPr="00531BD3">
        <w:rPr>
          <w:rtl/>
        </w:rPr>
        <w:t xml:space="preserve">, </w:t>
      </w:r>
      <w:r w:rsidRPr="00531BD3">
        <w:rPr>
          <w:rFonts w:hint="eastAsia"/>
          <w:rtl/>
        </w:rPr>
        <w:t>פסקה</w:t>
      </w:r>
      <w:r w:rsidRPr="00531BD3">
        <w:rPr>
          <w:rtl/>
        </w:rPr>
        <w:t xml:space="preserve"> 34(</w:t>
      </w:r>
      <w:r w:rsidRPr="00531BD3">
        <w:rPr>
          <w:rFonts w:hint="eastAsia"/>
          <w:rtl/>
        </w:rPr>
        <w:t>ג</w:t>
      </w:r>
      <w:r w:rsidRPr="00531BD3">
        <w:rPr>
          <w:rtl/>
        </w:rPr>
        <w:t xml:space="preserve">) </w:t>
      </w:r>
      <w:r w:rsidRPr="00531BD3">
        <w:rPr>
          <w:rFonts w:hint="eastAsia"/>
          <w:rtl/>
        </w:rPr>
        <w:t>והאסמכתאות</w:t>
      </w:r>
      <w:r w:rsidRPr="00531BD3">
        <w:rPr>
          <w:rtl/>
        </w:rPr>
        <w:t xml:space="preserve"> </w:t>
      </w:r>
      <w:r w:rsidRPr="00531BD3">
        <w:rPr>
          <w:rFonts w:hint="eastAsia"/>
          <w:rtl/>
        </w:rPr>
        <w:t>שם</w:t>
      </w:r>
      <w:r w:rsidRPr="00531BD3">
        <w:rPr>
          <w:rtl/>
        </w:rPr>
        <w:t xml:space="preserve">). </w:t>
      </w:r>
      <w:r w:rsidRPr="00531BD3">
        <w:rPr>
          <w:rFonts w:hint="eastAsia"/>
          <w:rtl/>
        </w:rPr>
        <w:t>על</w:t>
      </w:r>
      <w:r w:rsidRPr="00531BD3">
        <w:rPr>
          <w:rtl/>
        </w:rPr>
        <w:t xml:space="preserve"> </w:t>
      </w:r>
      <w:r w:rsidRPr="00531BD3">
        <w:rPr>
          <w:rFonts w:hint="eastAsia"/>
          <w:rtl/>
        </w:rPr>
        <w:t>מנת</w:t>
      </w:r>
      <w:r w:rsidRPr="00531BD3">
        <w:rPr>
          <w:rtl/>
        </w:rPr>
        <w:t xml:space="preserve"> </w:t>
      </w:r>
      <w:r w:rsidRPr="00531BD3">
        <w:rPr>
          <w:rFonts w:hint="eastAsia"/>
          <w:rtl/>
        </w:rPr>
        <w:t>לבסס</w:t>
      </w:r>
      <w:r w:rsidRPr="00531BD3">
        <w:rPr>
          <w:rtl/>
        </w:rPr>
        <w:t xml:space="preserve"> </w:t>
      </w:r>
      <w:r w:rsidRPr="00531BD3">
        <w:rPr>
          <w:rFonts w:hint="eastAsia"/>
          <w:rtl/>
        </w:rPr>
        <w:t>הרשעה</w:t>
      </w:r>
      <w:r w:rsidRPr="00531BD3">
        <w:rPr>
          <w:rtl/>
        </w:rPr>
        <w:t xml:space="preserve"> </w:t>
      </w:r>
      <w:r w:rsidRPr="00531BD3">
        <w:rPr>
          <w:rFonts w:hint="eastAsia"/>
          <w:rtl/>
        </w:rPr>
        <w:t>בעבירה</w:t>
      </w:r>
      <w:r w:rsidRPr="00531BD3">
        <w:rPr>
          <w:rtl/>
        </w:rPr>
        <w:t xml:space="preserve"> </w:t>
      </w:r>
      <w:r w:rsidRPr="00531BD3">
        <w:rPr>
          <w:rFonts w:hint="eastAsia"/>
          <w:rtl/>
        </w:rPr>
        <w:t>זו</w:t>
      </w:r>
      <w:r w:rsidRPr="00531BD3">
        <w:rPr>
          <w:rtl/>
        </w:rPr>
        <w:t xml:space="preserve">, </w:t>
      </w:r>
      <w:r w:rsidRPr="00531BD3">
        <w:rPr>
          <w:rFonts w:hint="eastAsia"/>
          <w:rtl/>
        </w:rPr>
        <w:t>על</w:t>
      </w:r>
      <w:r w:rsidRPr="00531BD3">
        <w:rPr>
          <w:rtl/>
        </w:rPr>
        <w:t xml:space="preserve"> </w:t>
      </w:r>
      <w:r w:rsidRPr="00531BD3">
        <w:rPr>
          <w:rFonts w:hint="eastAsia"/>
          <w:rtl/>
        </w:rPr>
        <w:t>בית</w:t>
      </w:r>
      <w:r w:rsidRPr="00531BD3">
        <w:rPr>
          <w:rtl/>
        </w:rPr>
        <w:t xml:space="preserve"> </w:t>
      </w:r>
      <w:r w:rsidRPr="00531BD3">
        <w:rPr>
          <w:rFonts w:hint="eastAsia"/>
          <w:rtl/>
        </w:rPr>
        <w:t>המשפט</w:t>
      </w:r>
      <w:r w:rsidRPr="00531BD3">
        <w:rPr>
          <w:rtl/>
        </w:rPr>
        <w:t xml:space="preserve"> </w:t>
      </w:r>
      <w:r w:rsidRPr="00531BD3">
        <w:rPr>
          <w:rFonts w:hint="eastAsia"/>
          <w:rtl/>
        </w:rPr>
        <w:t>להשתכנע</w:t>
      </w:r>
      <w:r w:rsidRPr="00531BD3">
        <w:rPr>
          <w:rtl/>
        </w:rPr>
        <w:t xml:space="preserve"> </w:t>
      </w:r>
      <w:r w:rsidRPr="00531BD3">
        <w:rPr>
          <w:rFonts w:hint="eastAsia"/>
          <w:rtl/>
        </w:rPr>
        <w:t>כי</w:t>
      </w:r>
      <w:r w:rsidRPr="00531BD3">
        <w:rPr>
          <w:rtl/>
        </w:rPr>
        <w:t xml:space="preserve"> </w:t>
      </w:r>
      <w:r w:rsidRPr="00531BD3">
        <w:rPr>
          <w:rFonts w:hint="eastAsia"/>
          <w:rtl/>
        </w:rPr>
        <w:t>נגרמה</w:t>
      </w:r>
      <w:r w:rsidRPr="00531BD3">
        <w:rPr>
          <w:rtl/>
        </w:rPr>
        <w:t xml:space="preserve"> "</w:t>
      </w:r>
      <w:r w:rsidRPr="00531BD3">
        <w:rPr>
          <w:rFonts w:hint="eastAsia"/>
          <w:rtl/>
        </w:rPr>
        <w:t>פגיעה</w:t>
      </w:r>
      <w:r w:rsidRPr="00531BD3">
        <w:rPr>
          <w:rtl/>
        </w:rPr>
        <w:t xml:space="preserve"> </w:t>
      </w:r>
      <w:r w:rsidRPr="00531BD3">
        <w:rPr>
          <w:rFonts w:hint="eastAsia"/>
          <w:rtl/>
        </w:rPr>
        <w:t>לתאגיד</w:t>
      </w:r>
      <w:r w:rsidRPr="00531BD3">
        <w:rPr>
          <w:rtl/>
        </w:rPr>
        <w:t xml:space="preserve">", </w:t>
      </w:r>
      <w:r w:rsidRPr="00531BD3">
        <w:rPr>
          <w:rFonts w:hint="eastAsia"/>
          <w:rtl/>
        </w:rPr>
        <w:t>כאשר</w:t>
      </w:r>
      <w:r w:rsidRPr="00531BD3">
        <w:rPr>
          <w:rtl/>
        </w:rPr>
        <w:t xml:space="preserve"> </w:t>
      </w:r>
      <w:r w:rsidRPr="00531BD3">
        <w:rPr>
          <w:rFonts w:hint="eastAsia"/>
          <w:rtl/>
        </w:rPr>
        <w:t>במצב</w:t>
      </w:r>
      <w:r w:rsidRPr="00531BD3">
        <w:rPr>
          <w:rtl/>
        </w:rPr>
        <w:t xml:space="preserve"> </w:t>
      </w:r>
      <w:r w:rsidRPr="00531BD3">
        <w:rPr>
          <w:rFonts w:hint="eastAsia"/>
          <w:rtl/>
        </w:rPr>
        <w:t>שבו</w:t>
      </w:r>
      <w:r w:rsidRPr="00531BD3">
        <w:rPr>
          <w:rtl/>
        </w:rPr>
        <w:t xml:space="preserve"> </w:t>
      </w:r>
      <w:r w:rsidRPr="00531BD3">
        <w:rPr>
          <w:rFonts w:hint="eastAsia"/>
          <w:rtl/>
        </w:rPr>
        <w:t>מדובר</w:t>
      </w:r>
      <w:r w:rsidRPr="00531BD3">
        <w:rPr>
          <w:rtl/>
        </w:rPr>
        <w:t xml:space="preserve"> </w:t>
      </w:r>
      <w:r w:rsidRPr="00531BD3">
        <w:rPr>
          <w:rFonts w:hint="eastAsia"/>
          <w:rtl/>
        </w:rPr>
        <w:t>בתאגיד</w:t>
      </w:r>
      <w:r w:rsidRPr="00531BD3">
        <w:rPr>
          <w:rtl/>
        </w:rPr>
        <w:t xml:space="preserve"> </w:t>
      </w:r>
      <w:r w:rsidRPr="00531BD3">
        <w:rPr>
          <w:rFonts w:hint="eastAsia"/>
          <w:rtl/>
        </w:rPr>
        <w:t>המספק</w:t>
      </w:r>
      <w:r w:rsidRPr="00531BD3">
        <w:rPr>
          <w:rtl/>
        </w:rPr>
        <w:t xml:space="preserve"> </w:t>
      </w:r>
      <w:r w:rsidRPr="00531BD3">
        <w:rPr>
          <w:rFonts w:hint="eastAsia"/>
          <w:rtl/>
        </w:rPr>
        <w:t>שירות</w:t>
      </w:r>
      <w:r w:rsidRPr="00531BD3">
        <w:rPr>
          <w:rtl/>
        </w:rPr>
        <w:t xml:space="preserve"> </w:t>
      </w:r>
      <w:r w:rsidRPr="00531BD3">
        <w:rPr>
          <w:rFonts w:hint="eastAsia"/>
          <w:rtl/>
        </w:rPr>
        <w:t>לציבור</w:t>
      </w:r>
      <w:r w:rsidRPr="00531BD3">
        <w:rPr>
          <w:rtl/>
        </w:rPr>
        <w:t xml:space="preserve">, </w:t>
      </w:r>
      <w:r w:rsidRPr="00531BD3">
        <w:rPr>
          <w:rFonts w:hint="cs"/>
          <w:rtl/>
        </w:rPr>
        <w:t>אין הכרח בקיומה של פגיעה כלכלית-ממונית כדי למלא אחר רכיב זה</w:t>
      </w:r>
      <w:r w:rsidRPr="00531BD3">
        <w:rPr>
          <w:rtl/>
        </w:rPr>
        <w:t xml:space="preserve"> (</w:t>
      </w:r>
      <w:r w:rsidRPr="00531BD3">
        <w:rPr>
          <w:rFonts w:hint="eastAsia"/>
          <w:rtl/>
        </w:rPr>
        <w:t>ע</w:t>
      </w:r>
      <w:r w:rsidRPr="00531BD3">
        <w:rPr>
          <w:rtl/>
        </w:rPr>
        <w:t>"</w:t>
      </w:r>
      <w:r w:rsidRPr="00531BD3">
        <w:rPr>
          <w:rFonts w:hint="eastAsia"/>
          <w:rtl/>
        </w:rPr>
        <w:t>פ</w:t>
      </w:r>
      <w:r w:rsidRPr="00531BD3">
        <w:rPr>
          <w:rtl/>
        </w:rPr>
        <w:t xml:space="preserve"> 8573/96 </w:t>
      </w:r>
      <w:proofErr w:type="spellStart"/>
      <w:r w:rsidRPr="00531BD3">
        <w:rPr>
          <w:rFonts w:cs="Miriam" w:hint="eastAsia"/>
          <w:b/>
          <w:spacing w:val="0"/>
          <w:szCs w:val="24"/>
          <w:rtl/>
        </w:rPr>
        <w:t>מרקדו</w:t>
      </w:r>
      <w:proofErr w:type="spellEnd"/>
      <w:r w:rsidRPr="00531BD3">
        <w:rPr>
          <w:rFonts w:cs="Miriam"/>
          <w:b/>
          <w:spacing w:val="0"/>
          <w:szCs w:val="24"/>
          <w:rtl/>
        </w:rPr>
        <w:t xml:space="preserve"> </w:t>
      </w:r>
      <w:r w:rsidRPr="00531BD3">
        <w:rPr>
          <w:rFonts w:cs="Miriam" w:hint="eastAsia"/>
          <w:b/>
          <w:spacing w:val="0"/>
          <w:szCs w:val="24"/>
          <w:rtl/>
        </w:rPr>
        <w:t>נ</w:t>
      </w:r>
      <w:r w:rsidRPr="00531BD3">
        <w:rPr>
          <w:rFonts w:cs="Miriam"/>
          <w:b/>
          <w:spacing w:val="0"/>
          <w:szCs w:val="24"/>
          <w:rtl/>
        </w:rPr>
        <w:t xml:space="preserve">' </w:t>
      </w:r>
      <w:r w:rsidRPr="00531BD3">
        <w:rPr>
          <w:rFonts w:cs="Miriam" w:hint="eastAsia"/>
          <w:b/>
          <w:spacing w:val="0"/>
          <w:szCs w:val="24"/>
          <w:rtl/>
        </w:rPr>
        <w:t>מדינת</w:t>
      </w:r>
      <w:r w:rsidRPr="00531BD3">
        <w:rPr>
          <w:rFonts w:cs="Miriam"/>
          <w:b/>
          <w:spacing w:val="0"/>
          <w:szCs w:val="24"/>
          <w:rtl/>
        </w:rPr>
        <w:t xml:space="preserve"> </w:t>
      </w:r>
      <w:r w:rsidRPr="00531BD3">
        <w:rPr>
          <w:rFonts w:cs="Miriam" w:hint="eastAsia"/>
          <w:b/>
          <w:spacing w:val="0"/>
          <w:szCs w:val="24"/>
          <w:rtl/>
        </w:rPr>
        <w:t>ישראל</w:t>
      </w:r>
      <w:r w:rsidRPr="00531BD3">
        <w:rPr>
          <w:rtl/>
        </w:rPr>
        <w:t xml:space="preserve">, </w:t>
      </w:r>
      <w:r w:rsidRPr="00531BD3">
        <w:rPr>
          <w:rFonts w:hint="eastAsia"/>
          <w:rtl/>
        </w:rPr>
        <w:t>פ</w:t>
      </w:r>
      <w:r w:rsidRPr="00531BD3">
        <w:rPr>
          <w:rtl/>
        </w:rPr>
        <w:t>"</w:t>
      </w:r>
      <w:r w:rsidRPr="00531BD3">
        <w:rPr>
          <w:rFonts w:hint="eastAsia"/>
          <w:rtl/>
        </w:rPr>
        <w:t>ד</w:t>
      </w:r>
      <w:r w:rsidRPr="00531BD3">
        <w:rPr>
          <w:rtl/>
        </w:rPr>
        <w:t xml:space="preserve"> </w:t>
      </w:r>
      <w:r w:rsidRPr="00531BD3">
        <w:rPr>
          <w:rFonts w:hint="eastAsia"/>
          <w:rtl/>
        </w:rPr>
        <w:t>נא</w:t>
      </w:r>
      <w:r w:rsidRPr="00531BD3">
        <w:rPr>
          <w:rtl/>
        </w:rPr>
        <w:t xml:space="preserve">(5) 481, 555 (1997); </w:t>
      </w:r>
      <w:r w:rsidRPr="00531BD3">
        <w:rPr>
          <w:rFonts w:hint="cs"/>
          <w:rtl/>
        </w:rPr>
        <w:t>ע"</w:t>
      </w:r>
      <w:r w:rsidRPr="00531BD3">
        <w:rPr>
          <w:rFonts w:hint="eastAsia"/>
          <w:rtl/>
        </w:rPr>
        <w:t>פ</w:t>
      </w:r>
      <w:r w:rsidRPr="00531BD3">
        <w:rPr>
          <w:rtl/>
        </w:rPr>
        <w:t xml:space="preserve"> 677/14</w:t>
      </w:r>
      <w:r w:rsidRPr="00531BD3">
        <w:rPr>
          <w:rFonts w:hint="cs"/>
          <w:rtl/>
        </w:rPr>
        <w:t xml:space="preserve"> </w:t>
      </w:r>
      <w:r w:rsidRPr="00531BD3">
        <w:rPr>
          <w:rFonts w:ascii="Century" w:hAnsi="Century" w:cs="Miriam" w:hint="eastAsia"/>
          <w:b/>
          <w:spacing w:val="0"/>
          <w:sz w:val="22"/>
          <w:szCs w:val="24"/>
          <w:rtl/>
        </w:rPr>
        <w:t>דנקנר</w:t>
      </w:r>
      <w:r w:rsidRPr="00531BD3">
        <w:rPr>
          <w:rFonts w:ascii="Century" w:hAnsi="Century" w:cs="Miriam"/>
          <w:b/>
          <w:spacing w:val="0"/>
          <w:sz w:val="22"/>
          <w:szCs w:val="24"/>
          <w:rtl/>
        </w:rPr>
        <w:t xml:space="preserve"> </w:t>
      </w:r>
      <w:r w:rsidRPr="00531BD3">
        <w:rPr>
          <w:rFonts w:ascii="Century" w:hAnsi="Century" w:cs="Miriam" w:hint="eastAsia"/>
          <w:b/>
          <w:spacing w:val="0"/>
          <w:sz w:val="22"/>
          <w:szCs w:val="24"/>
          <w:rtl/>
        </w:rPr>
        <w:t>נ</w:t>
      </w:r>
      <w:r w:rsidRPr="00531BD3">
        <w:rPr>
          <w:rFonts w:ascii="Century" w:hAnsi="Century" w:cs="Miriam"/>
          <w:b/>
          <w:spacing w:val="0"/>
          <w:sz w:val="22"/>
          <w:szCs w:val="24"/>
          <w:rtl/>
        </w:rPr>
        <w:t xml:space="preserve">' </w:t>
      </w:r>
      <w:r w:rsidRPr="00531BD3">
        <w:rPr>
          <w:rFonts w:ascii="Century" w:hAnsi="Century" w:cs="Miriam" w:hint="eastAsia"/>
          <w:b/>
          <w:spacing w:val="0"/>
          <w:sz w:val="22"/>
          <w:szCs w:val="24"/>
          <w:rtl/>
        </w:rPr>
        <w:t>מדינת</w:t>
      </w:r>
      <w:r w:rsidRPr="00531BD3">
        <w:rPr>
          <w:rFonts w:ascii="Century" w:hAnsi="Century" w:cs="Miriam"/>
          <w:b/>
          <w:spacing w:val="0"/>
          <w:sz w:val="22"/>
          <w:szCs w:val="24"/>
          <w:rtl/>
        </w:rPr>
        <w:t xml:space="preserve"> </w:t>
      </w:r>
      <w:r w:rsidRPr="00531BD3">
        <w:rPr>
          <w:rFonts w:ascii="Century" w:hAnsi="Century" w:cs="Miriam" w:hint="eastAsia"/>
          <w:b/>
          <w:spacing w:val="0"/>
          <w:sz w:val="22"/>
          <w:szCs w:val="24"/>
          <w:rtl/>
        </w:rPr>
        <w:t>ישראל</w:t>
      </w:r>
      <w:r w:rsidRPr="00531BD3">
        <w:rPr>
          <w:rtl/>
        </w:rPr>
        <w:t xml:space="preserve">, </w:t>
      </w:r>
      <w:r>
        <w:rPr>
          <w:rFonts w:hint="cs"/>
          <w:rtl/>
        </w:rPr>
        <w:t>פסקה נ"ט</w:t>
      </w:r>
      <w:r w:rsidRPr="00531BD3">
        <w:rPr>
          <w:rtl/>
        </w:rPr>
        <w:t xml:space="preserve"> (17.7.2014) (</w:t>
      </w:r>
      <w:r w:rsidRPr="00531BD3">
        <w:rPr>
          <w:rFonts w:hint="eastAsia"/>
          <w:rtl/>
        </w:rPr>
        <w:t>להלן</w:t>
      </w:r>
      <w:r w:rsidRPr="00531BD3">
        <w:rPr>
          <w:rtl/>
        </w:rPr>
        <w:t xml:space="preserve">: </w:t>
      </w:r>
      <w:r w:rsidRPr="00531BD3">
        <w:rPr>
          <w:rFonts w:hint="eastAsia"/>
          <w:rtl/>
        </w:rPr>
        <w:t>עניין</w:t>
      </w:r>
      <w:r w:rsidRPr="00531BD3">
        <w:rPr>
          <w:rtl/>
        </w:rPr>
        <w:t xml:space="preserve"> </w:t>
      </w:r>
      <w:r w:rsidRPr="00531BD3">
        <w:rPr>
          <w:rFonts w:ascii="Century" w:hAnsi="Century" w:cs="Miriam" w:hint="eastAsia"/>
          <w:b/>
          <w:spacing w:val="0"/>
          <w:szCs w:val="24"/>
          <w:rtl/>
        </w:rPr>
        <w:t>דנקנר</w:t>
      </w:r>
      <w:r>
        <w:rPr>
          <w:rtl/>
        </w:rPr>
        <w:t>)</w:t>
      </w:r>
      <w:r w:rsidRPr="00531BD3">
        <w:rPr>
          <w:rtl/>
        </w:rPr>
        <w:t xml:space="preserve">; </w:t>
      </w:r>
      <w:r w:rsidRPr="00531BD3">
        <w:rPr>
          <w:rFonts w:hint="eastAsia"/>
          <w:rtl/>
        </w:rPr>
        <w:t>ע</w:t>
      </w:r>
      <w:r w:rsidRPr="00531BD3">
        <w:rPr>
          <w:rFonts w:hint="cs"/>
          <w:rtl/>
        </w:rPr>
        <w:t>"</w:t>
      </w:r>
      <w:r w:rsidRPr="00531BD3">
        <w:rPr>
          <w:rFonts w:hint="eastAsia"/>
          <w:rtl/>
        </w:rPr>
        <w:t>פ</w:t>
      </w:r>
      <w:r w:rsidRPr="00531BD3">
        <w:rPr>
          <w:rtl/>
        </w:rPr>
        <w:t xml:space="preserve"> 4603/17 </w:t>
      </w:r>
      <w:r w:rsidRPr="00531BD3">
        <w:rPr>
          <w:rFonts w:cs="Miriam" w:hint="eastAsia"/>
          <w:b/>
          <w:spacing w:val="0"/>
          <w:szCs w:val="24"/>
          <w:rtl/>
        </w:rPr>
        <w:t>אדרי</w:t>
      </w:r>
      <w:r w:rsidRPr="00531BD3">
        <w:rPr>
          <w:rFonts w:cs="Miriam"/>
          <w:b/>
          <w:spacing w:val="0"/>
          <w:szCs w:val="24"/>
          <w:rtl/>
        </w:rPr>
        <w:t xml:space="preserve"> </w:t>
      </w:r>
      <w:r w:rsidRPr="00531BD3">
        <w:rPr>
          <w:rFonts w:cs="Miriam" w:hint="eastAsia"/>
          <w:b/>
          <w:spacing w:val="0"/>
          <w:szCs w:val="24"/>
          <w:rtl/>
        </w:rPr>
        <w:t>נ</w:t>
      </w:r>
      <w:r w:rsidRPr="00531BD3">
        <w:rPr>
          <w:rFonts w:cs="Miriam"/>
          <w:b/>
          <w:spacing w:val="0"/>
          <w:szCs w:val="24"/>
          <w:rtl/>
        </w:rPr>
        <w:t xml:space="preserve">' </w:t>
      </w:r>
      <w:r w:rsidRPr="00531BD3">
        <w:rPr>
          <w:rFonts w:cs="Miriam" w:hint="eastAsia"/>
          <w:b/>
          <w:spacing w:val="0"/>
          <w:szCs w:val="24"/>
          <w:rtl/>
        </w:rPr>
        <w:t>מדינת</w:t>
      </w:r>
      <w:r w:rsidRPr="00531BD3">
        <w:rPr>
          <w:rFonts w:cs="Miriam"/>
          <w:b/>
          <w:spacing w:val="0"/>
          <w:szCs w:val="24"/>
          <w:rtl/>
        </w:rPr>
        <w:t xml:space="preserve"> </w:t>
      </w:r>
      <w:r w:rsidRPr="00531BD3">
        <w:rPr>
          <w:rFonts w:cs="Miriam" w:hint="eastAsia"/>
          <w:b/>
          <w:spacing w:val="0"/>
          <w:szCs w:val="24"/>
          <w:rtl/>
        </w:rPr>
        <w:t>ישראל</w:t>
      </w:r>
      <w:r w:rsidRPr="00531BD3">
        <w:rPr>
          <w:rtl/>
        </w:rPr>
        <w:t xml:space="preserve">, </w:t>
      </w:r>
      <w:r w:rsidRPr="00531BD3">
        <w:rPr>
          <w:rFonts w:hint="eastAsia"/>
          <w:rtl/>
        </w:rPr>
        <w:t>פסקאות</w:t>
      </w:r>
      <w:r w:rsidRPr="00531BD3">
        <w:rPr>
          <w:rtl/>
        </w:rPr>
        <w:t xml:space="preserve"> 24-22 </w:t>
      </w:r>
      <w:r w:rsidRPr="00531BD3">
        <w:rPr>
          <w:rFonts w:hint="eastAsia"/>
          <w:rtl/>
        </w:rPr>
        <w:t>לפסק</w:t>
      </w:r>
      <w:r w:rsidRPr="00531BD3">
        <w:rPr>
          <w:rtl/>
        </w:rPr>
        <w:t xml:space="preserve"> </w:t>
      </w:r>
      <w:r w:rsidRPr="00531BD3">
        <w:rPr>
          <w:rFonts w:hint="eastAsia"/>
          <w:rtl/>
        </w:rPr>
        <w:t>דינה</w:t>
      </w:r>
      <w:r w:rsidRPr="00531BD3">
        <w:rPr>
          <w:rtl/>
        </w:rPr>
        <w:t xml:space="preserve"> </w:t>
      </w:r>
      <w:r w:rsidRPr="00531BD3">
        <w:rPr>
          <w:rFonts w:hint="eastAsia"/>
          <w:rtl/>
        </w:rPr>
        <w:t>של</w:t>
      </w:r>
      <w:r w:rsidRPr="00531BD3">
        <w:rPr>
          <w:rtl/>
        </w:rPr>
        <w:t xml:space="preserve"> </w:t>
      </w:r>
      <w:r w:rsidRPr="00531BD3">
        <w:rPr>
          <w:rFonts w:hint="eastAsia"/>
          <w:rtl/>
        </w:rPr>
        <w:t>חברתי</w:t>
      </w:r>
      <w:r w:rsidRPr="00531BD3">
        <w:rPr>
          <w:rtl/>
        </w:rPr>
        <w:t xml:space="preserve"> </w:t>
      </w:r>
      <w:r w:rsidRPr="00531BD3">
        <w:rPr>
          <w:rFonts w:hint="eastAsia"/>
          <w:rtl/>
        </w:rPr>
        <w:t>השופטת</w:t>
      </w:r>
      <w:r w:rsidRPr="00531BD3">
        <w:rPr>
          <w:rtl/>
        </w:rPr>
        <w:t xml:space="preserve"> </w:t>
      </w:r>
      <w:r w:rsidRPr="00531BD3">
        <w:rPr>
          <w:rFonts w:cs="Miriam" w:hint="eastAsia"/>
          <w:b/>
          <w:spacing w:val="0"/>
          <w:szCs w:val="24"/>
          <w:rtl/>
        </w:rPr>
        <w:t>י</w:t>
      </w:r>
      <w:r w:rsidRPr="00531BD3">
        <w:rPr>
          <w:rFonts w:cs="Miriam"/>
          <w:b/>
          <w:spacing w:val="0"/>
          <w:szCs w:val="24"/>
          <w:rtl/>
        </w:rPr>
        <w:t xml:space="preserve">' </w:t>
      </w:r>
      <w:r w:rsidRPr="00531BD3">
        <w:rPr>
          <w:rFonts w:cs="Miriam" w:hint="eastAsia"/>
          <w:b/>
          <w:spacing w:val="0"/>
          <w:szCs w:val="24"/>
          <w:rtl/>
        </w:rPr>
        <w:t>וילנר</w:t>
      </w:r>
      <w:r w:rsidRPr="00531BD3">
        <w:rPr>
          <w:rFonts w:cs="Miriam"/>
          <w:b/>
          <w:spacing w:val="0"/>
          <w:szCs w:val="24"/>
          <w:rtl/>
        </w:rPr>
        <w:t xml:space="preserve"> </w:t>
      </w:r>
      <w:r w:rsidRPr="00531BD3">
        <w:rPr>
          <w:rFonts w:hint="cs"/>
          <w:rtl/>
        </w:rPr>
        <w:t xml:space="preserve">(16.7.2019) (להלן: עניין </w:t>
      </w:r>
      <w:r w:rsidRPr="00531BD3">
        <w:rPr>
          <w:rFonts w:cs="Miriam" w:hint="eastAsia"/>
          <w:b/>
          <w:spacing w:val="0"/>
          <w:szCs w:val="24"/>
          <w:rtl/>
        </w:rPr>
        <w:t>אדרי</w:t>
      </w:r>
      <w:r w:rsidRPr="00531BD3">
        <w:rPr>
          <w:rFonts w:hint="cs"/>
          <w:rtl/>
        </w:rPr>
        <w:t>)</w:t>
      </w:r>
      <w:r w:rsidRPr="00531BD3">
        <w:rPr>
          <w:rtl/>
        </w:rPr>
        <w:t xml:space="preserve">; </w:t>
      </w:r>
      <w:r w:rsidRPr="00531BD3">
        <w:rPr>
          <w:rFonts w:hint="eastAsia"/>
          <w:rtl/>
        </w:rPr>
        <w:t>עניין</w:t>
      </w:r>
      <w:r w:rsidRPr="00531BD3">
        <w:rPr>
          <w:rtl/>
        </w:rPr>
        <w:t xml:space="preserve"> </w:t>
      </w:r>
      <w:proofErr w:type="spellStart"/>
      <w:r w:rsidRPr="00531BD3">
        <w:rPr>
          <w:rFonts w:cs="Miriam" w:hint="eastAsia"/>
          <w:b/>
          <w:spacing w:val="0"/>
          <w:szCs w:val="24"/>
          <w:rtl/>
        </w:rPr>
        <w:t>טטרו</w:t>
      </w:r>
      <w:proofErr w:type="spellEnd"/>
      <w:r w:rsidRPr="00531BD3">
        <w:rPr>
          <w:rtl/>
        </w:rPr>
        <w:t xml:space="preserve">, </w:t>
      </w:r>
      <w:r w:rsidRPr="00531BD3">
        <w:rPr>
          <w:rFonts w:hint="eastAsia"/>
          <w:rtl/>
        </w:rPr>
        <w:t>פסקה</w:t>
      </w:r>
      <w:r w:rsidRPr="00531BD3">
        <w:rPr>
          <w:rtl/>
        </w:rPr>
        <w:t xml:space="preserve"> 34(</w:t>
      </w:r>
      <w:r w:rsidRPr="00531BD3">
        <w:rPr>
          <w:rFonts w:hint="eastAsia"/>
          <w:rtl/>
        </w:rPr>
        <w:t>א</w:t>
      </w:r>
      <w:r w:rsidRPr="00531BD3">
        <w:rPr>
          <w:rtl/>
        </w:rPr>
        <w:t>)).</w:t>
      </w:r>
    </w:p>
    <w:p w:rsidR="008A4DD4" w:rsidRPr="00531BD3" w:rsidRDefault="008A4DD4" w:rsidP="008A4DD4">
      <w:pPr>
        <w:pStyle w:val="Ruller41"/>
      </w:pPr>
    </w:p>
    <w:p w:rsidR="008A4DD4" w:rsidRPr="00531BD3" w:rsidRDefault="008A4DD4" w:rsidP="008A4DD4">
      <w:pPr>
        <w:pStyle w:val="Ruller4"/>
        <w:rPr>
          <w:rFonts w:ascii="Century" w:hAnsi="Century"/>
          <w:sz w:val="22"/>
        </w:rPr>
      </w:pPr>
      <w:r w:rsidRPr="00531BD3">
        <w:rPr>
          <w:rFonts w:ascii="Century" w:hAnsi="Century" w:hint="eastAsia"/>
          <w:sz w:val="22"/>
          <w:rtl/>
        </w:rPr>
        <w:t>על</w:t>
      </w:r>
      <w:r w:rsidRPr="00531BD3">
        <w:rPr>
          <w:rFonts w:ascii="Century" w:hAnsi="Century"/>
          <w:sz w:val="22"/>
          <w:rtl/>
        </w:rPr>
        <w:t xml:space="preserve"> </w:t>
      </w:r>
      <w:r w:rsidRPr="00531BD3">
        <w:rPr>
          <w:rFonts w:ascii="Century" w:hAnsi="Century" w:hint="eastAsia"/>
          <w:sz w:val="22"/>
          <w:rtl/>
        </w:rPr>
        <w:t>טיב</w:t>
      </w:r>
      <w:r w:rsidRPr="00531BD3">
        <w:rPr>
          <w:rFonts w:ascii="Century" w:hAnsi="Century"/>
          <w:sz w:val="22"/>
          <w:rtl/>
        </w:rPr>
        <w:t xml:space="preserve"> </w:t>
      </w:r>
      <w:r w:rsidRPr="00531BD3">
        <w:rPr>
          <w:rFonts w:ascii="Century" w:hAnsi="Century" w:hint="eastAsia"/>
          <w:sz w:val="22"/>
          <w:rtl/>
        </w:rPr>
        <w:t>הפעולות</w:t>
      </w:r>
      <w:r w:rsidRPr="00531BD3">
        <w:rPr>
          <w:rFonts w:ascii="Century" w:hAnsi="Century"/>
          <w:sz w:val="22"/>
          <w:rtl/>
        </w:rPr>
        <w:t xml:space="preserve"> </w:t>
      </w:r>
      <w:r w:rsidRPr="00531BD3">
        <w:rPr>
          <w:rFonts w:ascii="Century" w:hAnsi="Century" w:hint="eastAsia"/>
          <w:sz w:val="22"/>
          <w:rtl/>
        </w:rPr>
        <w:t>שעשויות</w:t>
      </w:r>
      <w:r w:rsidRPr="00531BD3">
        <w:rPr>
          <w:rFonts w:ascii="Century" w:hAnsi="Century"/>
          <w:sz w:val="22"/>
          <w:rtl/>
        </w:rPr>
        <w:t xml:space="preserve"> </w:t>
      </w:r>
      <w:r w:rsidRPr="00531BD3">
        <w:rPr>
          <w:rFonts w:ascii="Century" w:hAnsi="Century" w:hint="eastAsia"/>
          <w:sz w:val="22"/>
          <w:rtl/>
        </w:rPr>
        <w:t>להוות</w:t>
      </w:r>
      <w:r w:rsidRPr="00531BD3">
        <w:rPr>
          <w:rFonts w:ascii="Century" w:hAnsi="Century"/>
          <w:sz w:val="22"/>
          <w:rtl/>
        </w:rPr>
        <w:t xml:space="preserve"> </w:t>
      </w:r>
      <w:r w:rsidRPr="00531BD3">
        <w:rPr>
          <w:rFonts w:ascii="Century" w:hAnsi="Century" w:hint="eastAsia"/>
          <w:sz w:val="22"/>
          <w:rtl/>
        </w:rPr>
        <w:t>פגיעה</w:t>
      </w:r>
      <w:r w:rsidRPr="00531BD3">
        <w:rPr>
          <w:rFonts w:ascii="Century" w:hAnsi="Century"/>
          <w:sz w:val="22"/>
          <w:rtl/>
        </w:rPr>
        <w:t xml:space="preserve"> </w:t>
      </w:r>
      <w:r w:rsidRPr="00531BD3">
        <w:rPr>
          <w:rFonts w:ascii="Century" w:hAnsi="Century" w:hint="eastAsia"/>
          <w:sz w:val="22"/>
          <w:rtl/>
        </w:rPr>
        <w:t>בערך</w:t>
      </w:r>
      <w:r w:rsidRPr="00531BD3">
        <w:rPr>
          <w:rFonts w:ascii="Century" w:hAnsi="Century"/>
          <w:sz w:val="22"/>
          <w:rtl/>
        </w:rPr>
        <w:t xml:space="preserve"> </w:t>
      </w:r>
      <w:r w:rsidRPr="00531BD3">
        <w:rPr>
          <w:rFonts w:ascii="Century" w:hAnsi="Century" w:hint="eastAsia"/>
          <w:sz w:val="22"/>
          <w:rtl/>
        </w:rPr>
        <w:t>המוגן</w:t>
      </w:r>
      <w:r w:rsidRPr="00531BD3">
        <w:rPr>
          <w:rFonts w:ascii="Century" w:hAnsi="Century"/>
          <w:sz w:val="22"/>
          <w:rtl/>
        </w:rPr>
        <w:t xml:space="preserve"> </w:t>
      </w:r>
      <w:r w:rsidRPr="00531BD3">
        <w:rPr>
          <w:rFonts w:ascii="Century" w:hAnsi="Century" w:hint="eastAsia"/>
          <w:sz w:val="22"/>
          <w:rtl/>
        </w:rPr>
        <w:t>בעבירה</w:t>
      </w:r>
      <w:r w:rsidRPr="00531BD3">
        <w:rPr>
          <w:rFonts w:ascii="Century" w:hAnsi="Century"/>
          <w:sz w:val="22"/>
          <w:rtl/>
        </w:rPr>
        <w:t xml:space="preserve"> </w:t>
      </w:r>
      <w:r w:rsidRPr="00531BD3">
        <w:rPr>
          <w:rFonts w:ascii="Century" w:hAnsi="Century" w:hint="eastAsia"/>
          <w:sz w:val="22"/>
          <w:rtl/>
        </w:rPr>
        <w:t>ניתן</w:t>
      </w:r>
      <w:r w:rsidRPr="00531BD3">
        <w:rPr>
          <w:rFonts w:ascii="Century" w:hAnsi="Century"/>
          <w:sz w:val="22"/>
          <w:rtl/>
        </w:rPr>
        <w:t xml:space="preserve"> </w:t>
      </w:r>
      <w:r w:rsidRPr="00531BD3">
        <w:rPr>
          <w:rFonts w:ascii="Century" w:hAnsi="Century" w:hint="eastAsia"/>
          <w:sz w:val="22"/>
          <w:rtl/>
        </w:rPr>
        <w:t>כאמור</w:t>
      </w:r>
      <w:r w:rsidRPr="00531BD3">
        <w:rPr>
          <w:rFonts w:ascii="Century" w:hAnsi="Century"/>
          <w:sz w:val="22"/>
          <w:rtl/>
        </w:rPr>
        <w:t xml:space="preserve"> </w:t>
      </w:r>
      <w:r w:rsidRPr="00531BD3">
        <w:rPr>
          <w:rFonts w:ascii="Century" w:hAnsi="Century" w:hint="eastAsia"/>
          <w:sz w:val="22"/>
          <w:rtl/>
        </w:rPr>
        <w:t>ללמוד</w:t>
      </w:r>
      <w:r w:rsidRPr="00531BD3">
        <w:rPr>
          <w:rFonts w:ascii="Century" w:hAnsi="Century"/>
          <w:sz w:val="22"/>
          <w:rtl/>
        </w:rPr>
        <w:t xml:space="preserve"> </w:t>
      </w:r>
      <w:r w:rsidRPr="00531BD3">
        <w:rPr>
          <w:rFonts w:ascii="Century" w:hAnsi="Century" w:hint="eastAsia"/>
          <w:sz w:val="22"/>
          <w:rtl/>
        </w:rPr>
        <w:t>כקו</w:t>
      </w:r>
      <w:r w:rsidRPr="00531BD3">
        <w:rPr>
          <w:rFonts w:ascii="Century" w:hAnsi="Century"/>
          <w:sz w:val="22"/>
          <w:rtl/>
        </w:rPr>
        <w:t xml:space="preserve"> </w:t>
      </w:r>
      <w:r w:rsidRPr="00531BD3">
        <w:rPr>
          <w:rFonts w:ascii="Century" w:hAnsi="Century" w:hint="eastAsia"/>
          <w:sz w:val="22"/>
          <w:rtl/>
        </w:rPr>
        <w:t>מנחה</w:t>
      </w:r>
      <w:r w:rsidRPr="00531BD3">
        <w:rPr>
          <w:rFonts w:ascii="Century" w:hAnsi="Century"/>
          <w:sz w:val="22"/>
          <w:rtl/>
        </w:rPr>
        <w:t xml:space="preserve"> </w:t>
      </w:r>
      <w:r w:rsidRPr="00531BD3">
        <w:rPr>
          <w:rFonts w:ascii="Century" w:hAnsi="Century" w:hint="eastAsia"/>
          <w:sz w:val="22"/>
          <w:rtl/>
        </w:rPr>
        <w:t>גם</w:t>
      </w:r>
      <w:r w:rsidRPr="00531BD3">
        <w:rPr>
          <w:rFonts w:ascii="Century" w:hAnsi="Century"/>
          <w:sz w:val="22"/>
          <w:rtl/>
        </w:rPr>
        <w:t xml:space="preserve"> </w:t>
      </w:r>
      <w:r w:rsidRPr="00531BD3">
        <w:rPr>
          <w:rFonts w:ascii="Century" w:hAnsi="Century" w:hint="eastAsia"/>
          <w:sz w:val="22"/>
          <w:rtl/>
        </w:rPr>
        <w:t>מהחובות</w:t>
      </w:r>
      <w:r w:rsidRPr="00531BD3">
        <w:rPr>
          <w:rFonts w:ascii="Century" w:hAnsi="Century"/>
          <w:sz w:val="22"/>
          <w:rtl/>
        </w:rPr>
        <w:t xml:space="preserve"> </w:t>
      </w:r>
      <w:r w:rsidRPr="00531BD3">
        <w:rPr>
          <w:rFonts w:ascii="Century" w:hAnsi="Century" w:hint="eastAsia"/>
          <w:sz w:val="22"/>
          <w:rtl/>
        </w:rPr>
        <w:t>האזרחיות</w:t>
      </w:r>
      <w:r w:rsidRPr="00531BD3">
        <w:rPr>
          <w:rFonts w:ascii="Century" w:hAnsi="Century"/>
          <w:sz w:val="22"/>
          <w:rtl/>
        </w:rPr>
        <w:t xml:space="preserve"> </w:t>
      </w:r>
      <w:r w:rsidRPr="00531BD3">
        <w:rPr>
          <w:rFonts w:ascii="Century" w:hAnsi="Century" w:hint="eastAsia"/>
          <w:sz w:val="22"/>
          <w:rtl/>
        </w:rPr>
        <w:t>הספציפיות</w:t>
      </w:r>
      <w:r w:rsidRPr="00531BD3">
        <w:rPr>
          <w:rFonts w:ascii="Century" w:hAnsi="Century"/>
          <w:sz w:val="22"/>
          <w:rtl/>
        </w:rPr>
        <w:t xml:space="preserve"> </w:t>
      </w:r>
      <w:r w:rsidRPr="00531BD3">
        <w:rPr>
          <w:rFonts w:ascii="Century" w:hAnsi="Century" w:hint="eastAsia"/>
          <w:sz w:val="22"/>
          <w:rtl/>
        </w:rPr>
        <w:t>המוטלות</w:t>
      </w:r>
      <w:r w:rsidRPr="00531BD3">
        <w:rPr>
          <w:rFonts w:ascii="Century" w:hAnsi="Century"/>
          <w:sz w:val="22"/>
          <w:rtl/>
        </w:rPr>
        <w:t xml:space="preserve"> </w:t>
      </w:r>
      <w:r w:rsidRPr="00531BD3">
        <w:rPr>
          <w:rFonts w:ascii="Century" w:hAnsi="Century" w:hint="eastAsia"/>
          <w:sz w:val="22"/>
          <w:rtl/>
        </w:rPr>
        <w:t>על</w:t>
      </w:r>
      <w:r w:rsidRPr="00531BD3">
        <w:rPr>
          <w:rFonts w:ascii="Century" w:hAnsi="Century"/>
          <w:sz w:val="22"/>
          <w:rtl/>
        </w:rPr>
        <w:t xml:space="preserve"> </w:t>
      </w:r>
      <w:r w:rsidRPr="00531BD3">
        <w:rPr>
          <w:rFonts w:ascii="Century" w:hAnsi="Century" w:hint="eastAsia"/>
          <w:sz w:val="22"/>
          <w:rtl/>
        </w:rPr>
        <w:t>נושא</w:t>
      </w:r>
      <w:r w:rsidRPr="00531BD3">
        <w:rPr>
          <w:rFonts w:ascii="Century" w:hAnsi="Century"/>
          <w:sz w:val="22"/>
          <w:rtl/>
        </w:rPr>
        <w:t xml:space="preserve"> </w:t>
      </w:r>
      <w:r w:rsidRPr="00531BD3">
        <w:rPr>
          <w:rFonts w:ascii="Century" w:hAnsi="Century" w:hint="eastAsia"/>
          <w:sz w:val="22"/>
          <w:rtl/>
        </w:rPr>
        <w:t>משרה</w:t>
      </w:r>
      <w:r w:rsidRPr="00531BD3">
        <w:rPr>
          <w:rFonts w:ascii="Century" w:hAnsi="Century"/>
          <w:sz w:val="22"/>
          <w:rtl/>
        </w:rPr>
        <w:t xml:space="preserve"> </w:t>
      </w:r>
      <w:r w:rsidRPr="00531BD3">
        <w:rPr>
          <w:rFonts w:ascii="Century" w:hAnsi="Century" w:hint="eastAsia"/>
          <w:sz w:val="22"/>
          <w:rtl/>
        </w:rPr>
        <w:t>כלפי</w:t>
      </w:r>
      <w:r w:rsidRPr="00531BD3">
        <w:rPr>
          <w:rFonts w:ascii="Century" w:hAnsi="Century"/>
          <w:sz w:val="22"/>
          <w:rtl/>
        </w:rPr>
        <w:t xml:space="preserve"> </w:t>
      </w:r>
      <w:r w:rsidRPr="00531BD3">
        <w:rPr>
          <w:rFonts w:ascii="Century" w:hAnsi="Century" w:hint="eastAsia"/>
          <w:sz w:val="22"/>
          <w:rtl/>
        </w:rPr>
        <w:t>החברה</w:t>
      </w:r>
      <w:r w:rsidRPr="00531BD3">
        <w:rPr>
          <w:rFonts w:ascii="Century" w:hAnsi="Century"/>
          <w:sz w:val="22"/>
          <w:rtl/>
        </w:rPr>
        <w:t xml:space="preserve">, </w:t>
      </w:r>
      <w:r w:rsidRPr="00531BD3">
        <w:rPr>
          <w:rFonts w:ascii="Century" w:hAnsi="Century" w:hint="eastAsia"/>
          <w:sz w:val="22"/>
          <w:rtl/>
        </w:rPr>
        <w:t>ובכלל</w:t>
      </w:r>
      <w:r w:rsidRPr="00531BD3">
        <w:rPr>
          <w:rFonts w:ascii="Century" w:hAnsi="Century"/>
          <w:sz w:val="22"/>
          <w:rtl/>
        </w:rPr>
        <w:t xml:space="preserve"> </w:t>
      </w:r>
      <w:r w:rsidRPr="00531BD3">
        <w:rPr>
          <w:rFonts w:ascii="Century" w:hAnsi="Century" w:hint="eastAsia"/>
          <w:sz w:val="22"/>
          <w:rtl/>
        </w:rPr>
        <w:t>זה</w:t>
      </w:r>
      <w:r w:rsidRPr="00531BD3">
        <w:rPr>
          <w:rFonts w:ascii="Century" w:hAnsi="Century"/>
          <w:sz w:val="22"/>
          <w:rtl/>
        </w:rPr>
        <w:t xml:space="preserve"> </w:t>
      </w:r>
      <w:r w:rsidRPr="00531BD3">
        <w:rPr>
          <w:rFonts w:ascii="Century" w:hAnsi="Century" w:hint="eastAsia"/>
          <w:sz w:val="22"/>
          <w:rtl/>
        </w:rPr>
        <w:t>מחובת</w:t>
      </w:r>
      <w:r w:rsidRPr="00531BD3">
        <w:rPr>
          <w:rFonts w:ascii="Century" w:hAnsi="Century"/>
          <w:sz w:val="22"/>
          <w:rtl/>
        </w:rPr>
        <w:t xml:space="preserve"> </w:t>
      </w:r>
      <w:r w:rsidRPr="00531BD3">
        <w:rPr>
          <w:rFonts w:ascii="Century" w:hAnsi="Century" w:hint="eastAsia"/>
          <w:sz w:val="22"/>
          <w:rtl/>
        </w:rPr>
        <w:t>האמונים</w:t>
      </w:r>
      <w:r w:rsidRPr="00531BD3">
        <w:rPr>
          <w:rFonts w:ascii="Century" w:hAnsi="Century"/>
          <w:sz w:val="22"/>
          <w:rtl/>
        </w:rPr>
        <w:t xml:space="preserve"> </w:t>
      </w:r>
      <w:r w:rsidRPr="00531BD3">
        <w:rPr>
          <w:rFonts w:ascii="Century" w:hAnsi="Century" w:hint="eastAsia"/>
          <w:sz w:val="22"/>
          <w:rtl/>
        </w:rPr>
        <w:t>הקבועה</w:t>
      </w:r>
      <w:r w:rsidRPr="00531BD3">
        <w:rPr>
          <w:rFonts w:ascii="Century" w:hAnsi="Century"/>
          <w:sz w:val="22"/>
          <w:rtl/>
        </w:rPr>
        <w:t xml:space="preserve"> </w:t>
      </w:r>
      <w:r w:rsidRPr="00531BD3">
        <w:rPr>
          <w:rFonts w:ascii="Century" w:hAnsi="Century" w:hint="eastAsia"/>
          <w:sz w:val="22"/>
          <w:rtl/>
        </w:rPr>
        <w:t>כאמור</w:t>
      </w:r>
      <w:r w:rsidRPr="00531BD3">
        <w:rPr>
          <w:rFonts w:ascii="Century" w:hAnsi="Century"/>
          <w:sz w:val="22"/>
          <w:rtl/>
        </w:rPr>
        <w:t xml:space="preserve"> </w:t>
      </w:r>
      <w:r w:rsidRPr="00531BD3">
        <w:rPr>
          <w:rFonts w:ascii="Century" w:hAnsi="Century" w:hint="eastAsia"/>
          <w:sz w:val="22"/>
          <w:rtl/>
        </w:rPr>
        <w:t>בסעיף</w:t>
      </w:r>
      <w:r w:rsidRPr="00531BD3">
        <w:rPr>
          <w:rFonts w:ascii="Century" w:hAnsi="Century"/>
          <w:sz w:val="22"/>
          <w:rtl/>
        </w:rPr>
        <w:t xml:space="preserve"> 254 </w:t>
      </w:r>
      <w:r w:rsidRPr="00531BD3">
        <w:rPr>
          <w:rFonts w:ascii="Century" w:hAnsi="Century" w:hint="eastAsia"/>
          <w:sz w:val="22"/>
          <w:rtl/>
        </w:rPr>
        <w:t>לחוק</w:t>
      </w:r>
      <w:r w:rsidRPr="00531BD3">
        <w:rPr>
          <w:rFonts w:ascii="Century" w:hAnsi="Century"/>
          <w:sz w:val="22"/>
          <w:rtl/>
        </w:rPr>
        <w:t xml:space="preserve"> </w:t>
      </w:r>
      <w:r w:rsidRPr="00531BD3">
        <w:rPr>
          <w:rFonts w:ascii="Century" w:hAnsi="Century" w:hint="eastAsia"/>
          <w:sz w:val="22"/>
          <w:rtl/>
        </w:rPr>
        <w:t>החברות</w:t>
      </w:r>
      <w:r w:rsidRPr="00531BD3">
        <w:rPr>
          <w:rFonts w:ascii="Century" w:hAnsi="Century"/>
          <w:sz w:val="22"/>
          <w:rtl/>
        </w:rPr>
        <w:t xml:space="preserve">. </w:t>
      </w:r>
      <w:r w:rsidRPr="00531BD3">
        <w:rPr>
          <w:rFonts w:ascii="Century" w:hAnsi="Century" w:hint="eastAsia"/>
          <w:sz w:val="22"/>
          <w:rtl/>
        </w:rPr>
        <w:t>כך</w:t>
      </w:r>
      <w:r w:rsidRPr="00531BD3">
        <w:rPr>
          <w:rFonts w:ascii="Century" w:hAnsi="Century"/>
          <w:sz w:val="22"/>
          <w:rtl/>
        </w:rPr>
        <w:t xml:space="preserve"> </w:t>
      </w:r>
      <w:r w:rsidRPr="00531BD3">
        <w:rPr>
          <w:rFonts w:ascii="Century" w:hAnsi="Century" w:hint="eastAsia"/>
          <w:sz w:val="22"/>
          <w:rtl/>
        </w:rPr>
        <w:t>בין</w:t>
      </w:r>
      <w:r w:rsidRPr="00531BD3">
        <w:rPr>
          <w:rFonts w:ascii="Century" w:hAnsi="Century"/>
          <w:sz w:val="22"/>
          <w:rtl/>
        </w:rPr>
        <w:t xml:space="preserve"> </w:t>
      </w:r>
      <w:r w:rsidRPr="00531BD3">
        <w:rPr>
          <w:rFonts w:ascii="Century" w:hAnsi="Century" w:hint="eastAsia"/>
          <w:sz w:val="22"/>
          <w:rtl/>
        </w:rPr>
        <w:t>היתר</w:t>
      </w:r>
      <w:r w:rsidRPr="00531BD3">
        <w:rPr>
          <w:rFonts w:ascii="Century" w:hAnsi="Century"/>
          <w:sz w:val="22"/>
          <w:rtl/>
        </w:rPr>
        <w:t xml:space="preserve">, </w:t>
      </w:r>
      <w:r w:rsidRPr="00531BD3">
        <w:rPr>
          <w:rFonts w:ascii="Century" w:hAnsi="Century" w:hint="eastAsia"/>
          <w:sz w:val="22"/>
          <w:rtl/>
        </w:rPr>
        <w:t>האיסור</w:t>
      </w:r>
      <w:r w:rsidRPr="00531BD3">
        <w:rPr>
          <w:rFonts w:ascii="Century" w:hAnsi="Century"/>
          <w:sz w:val="22"/>
          <w:rtl/>
        </w:rPr>
        <w:t xml:space="preserve"> </w:t>
      </w:r>
      <w:r w:rsidRPr="00531BD3">
        <w:rPr>
          <w:rFonts w:ascii="Century" w:hAnsi="Century" w:hint="eastAsia"/>
          <w:sz w:val="22"/>
          <w:rtl/>
        </w:rPr>
        <w:t>להימצא</w:t>
      </w:r>
      <w:r w:rsidRPr="00531BD3">
        <w:rPr>
          <w:rFonts w:ascii="Century" w:hAnsi="Century"/>
          <w:sz w:val="22"/>
          <w:rtl/>
        </w:rPr>
        <w:t xml:space="preserve"> </w:t>
      </w:r>
      <w:r w:rsidRPr="00531BD3">
        <w:rPr>
          <w:rFonts w:ascii="Century" w:hAnsi="Century" w:hint="eastAsia"/>
          <w:sz w:val="22"/>
          <w:rtl/>
        </w:rPr>
        <w:t>בניגוד</w:t>
      </w:r>
      <w:r w:rsidRPr="00531BD3">
        <w:rPr>
          <w:rFonts w:ascii="Century" w:hAnsi="Century"/>
          <w:sz w:val="22"/>
          <w:rtl/>
        </w:rPr>
        <w:t xml:space="preserve"> </w:t>
      </w:r>
      <w:r w:rsidRPr="00531BD3">
        <w:rPr>
          <w:rFonts w:ascii="Century" w:hAnsi="Century" w:hint="eastAsia"/>
          <w:sz w:val="22"/>
          <w:rtl/>
        </w:rPr>
        <w:t>עניינים</w:t>
      </w:r>
      <w:r w:rsidRPr="00531BD3">
        <w:rPr>
          <w:rFonts w:ascii="Century" w:hAnsi="Century"/>
          <w:sz w:val="22"/>
          <w:rtl/>
        </w:rPr>
        <w:t xml:space="preserve"> </w:t>
      </w:r>
      <w:r w:rsidRPr="00531BD3">
        <w:rPr>
          <w:rFonts w:ascii="Century" w:hAnsi="Century" w:hint="eastAsia"/>
          <w:sz w:val="22"/>
          <w:rtl/>
        </w:rPr>
        <w:t>המוגדר</w:t>
      </w:r>
      <w:r w:rsidRPr="00531BD3">
        <w:rPr>
          <w:rFonts w:ascii="Century" w:hAnsi="Century"/>
          <w:sz w:val="22"/>
          <w:rtl/>
        </w:rPr>
        <w:t xml:space="preserve"> </w:t>
      </w:r>
      <w:r w:rsidRPr="00531BD3">
        <w:rPr>
          <w:rFonts w:ascii="Century" w:hAnsi="Century" w:hint="eastAsia"/>
          <w:sz w:val="22"/>
          <w:rtl/>
        </w:rPr>
        <w:t>מפורשות</w:t>
      </w:r>
      <w:r w:rsidRPr="00531BD3">
        <w:rPr>
          <w:rFonts w:ascii="Century" w:hAnsi="Century"/>
          <w:sz w:val="22"/>
          <w:rtl/>
        </w:rPr>
        <w:t xml:space="preserve"> </w:t>
      </w:r>
      <w:r w:rsidRPr="00531BD3">
        <w:rPr>
          <w:rFonts w:ascii="Century" w:hAnsi="Century" w:hint="eastAsia"/>
          <w:sz w:val="22"/>
          <w:rtl/>
        </w:rPr>
        <w:t>בגדר</w:t>
      </w:r>
      <w:r w:rsidRPr="00531BD3">
        <w:rPr>
          <w:rFonts w:ascii="Century" w:hAnsi="Century"/>
          <w:sz w:val="22"/>
          <w:rtl/>
        </w:rPr>
        <w:t xml:space="preserve"> </w:t>
      </w:r>
      <w:r w:rsidRPr="00531BD3">
        <w:rPr>
          <w:rFonts w:ascii="Century" w:hAnsi="Century" w:hint="eastAsia"/>
          <w:sz w:val="22"/>
          <w:rtl/>
        </w:rPr>
        <w:t>חובת</w:t>
      </w:r>
      <w:r w:rsidRPr="00531BD3">
        <w:rPr>
          <w:rFonts w:ascii="Century" w:hAnsi="Century"/>
          <w:sz w:val="22"/>
          <w:rtl/>
        </w:rPr>
        <w:t xml:space="preserve"> </w:t>
      </w:r>
      <w:r w:rsidRPr="00531BD3">
        <w:rPr>
          <w:rFonts w:ascii="Century" w:hAnsi="Century" w:hint="eastAsia"/>
          <w:sz w:val="22"/>
          <w:rtl/>
        </w:rPr>
        <w:t>האמונים</w:t>
      </w:r>
      <w:r w:rsidRPr="00531BD3">
        <w:rPr>
          <w:rFonts w:ascii="Century" w:hAnsi="Century"/>
          <w:sz w:val="22"/>
          <w:rtl/>
        </w:rPr>
        <w:t xml:space="preserve"> </w:t>
      </w:r>
      <w:r w:rsidRPr="00531BD3">
        <w:rPr>
          <w:rFonts w:ascii="Century" w:hAnsi="Century" w:hint="eastAsia"/>
          <w:sz w:val="22"/>
          <w:rtl/>
        </w:rPr>
        <w:t>האזרחית</w:t>
      </w:r>
      <w:r w:rsidRPr="00531BD3">
        <w:rPr>
          <w:rFonts w:ascii="Century" w:hAnsi="Century"/>
          <w:sz w:val="22"/>
          <w:rtl/>
        </w:rPr>
        <w:t xml:space="preserve">, </w:t>
      </w:r>
      <w:r w:rsidRPr="00531BD3">
        <w:rPr>
          <w:rFonts w:ascii="Century" w:hAnsi="Century" w:hint="eastAsia"/>
          <w:sz w:val="22"/>
          <w:rtl/>
        </w:rPr>
        <w:t>מאפיין</w:t>
      </w:r>
      <w:r w:rsidRPr="00531BD3">
        <w:rPr>
          <w:rFonts w:ascii="Century" w:hAnsi="Century"/>
          <w:sz w:val="22"/>
          <w:rtl/>
        </w:rPr>
        <w:t xml:space="preserve"> </w:t>
      </w:r>
      <w:r w:rsidRPr="00531BD3">
        <w:rPr>
          <w:rFonts w:ascii="Century" w:hAnsi="Century" w:hint="eastAsia"/>
          <w:sz w:val="22"/>
          <w:rtl/>
        </w:rPr>
        <w:t>את</w:t>
      </w:r>
      <w:r w:rsidRPr="00531BD3">
        <w:rPr>
          <w:rFonts w:ascii="Century" w:hAnsi="Century"/>
          <w:sz w:val="22"/>
          <w:rtl/>
        </w:rPr>
        <w:t xml:space="preserve"> </w:t>
      </w:r>
      <w:r w:rsidRPr="00531BD3">
        <w:rPr>
          <w:rFonts w:ascii="Century" w:hAnsi="Century" w:hint="eastAsia"/>
          <w:sz w:val="22"/>
          <w:rtl/>
        </w:rPr>
        <w:t>אחד</w:t>
      </w:r>
      <w:r w:rsidRPr="00531BD3">
        <w:rPr>
          <w:rFonts w:ascii="Century" w:hAnsi="Century"/>
          <w:sz w:val="22"/>
          <w:rtl/>
        </w:rPr>
        <w:t xml:space="preserve"> </w:t>
      </w:r>
      <w:r w:rsidRPr="00531BD3">
        <w:rPr>
          <w:rFonts w:ascii="Century" w:hAnsi="Century" w:hint="eastAsia"/>
          <w:sz w:val="22"/>
          <w:rtl/>
        </w:rPr>
        <w:t>המצבים</w:t>
      </w:r>
      <w:r w:rsidRPr="00531BD3">
        <w:rPr>
          <w:rFonts w:ascii="Century" w:hAnsi="Century"/>
          <w:sz w:val="22"/>
          <w:rtl/>
        </w:rPr>
        <w:t xml:space="preserve"> </w:t>
      </w:r>
      <w:r w:rsidRPr="00531BD3">
        <w:rPr>
          <w:rFonts w:ascii="Century" w:hAnsi="Century" w:hint="eastAsia"/>
          <w:sz w:val="22"/>
          <w:rtl/>
        </w:rPr>
        <w:t>המרכזיים</w:t>
      </w:r>
      <w:r w:rsidRPr="00531BD3">
        <w:rPr>
          <w:rFonts w:ascii="Century" w:hAnsi="Century"/>
          <w:sz w:val="22"/>
          <w:rtl/>
        </w:rPr>
        <w:t xml:space="preserve"> </w:t>
      </w:r>
      <w:r w:rsidRPr="00531BD3">
        <w:rPr>
          <w:rFonts w:ascii="Century" w:hAnsi="Century" w:hint="eastAsia"/>
          <w:sz w:val="22"/>
          <w:rtl/>
        </w:rPr>
        <w:t>של</w:t>
      </w:r>
      <w:r w:rsidRPr="00531BD3">
        <w:rPr>
          <w:rFonts w:ascii="Century" w:hAnsi="Century"/>
          <w:sz w:val="22"/>
          <w:rtl/>
        </w:rPr>
        <w:t xml:space="preserve"> </w:t>
      </w:r>
      <w:r w:rsidRPr="00531BD3">
        <w:rPr>
          <w:rFonts w:ascii="Century" w:hAnsi="Century" w:hint="eastAsia"/>
          <w:sz w:val="22"/>
          <w:rtl/>
        </w:rPr>
        <w:t>עבירת</w:t>
      </w:r>
      <w:r w:rsidRPr="00531BD3">
        <w:rPr>
          <w:rFonts w:ascii="Century" w:hAnsi="Century"/>
          <w:sz w:val="22"/>
          <w:rtl/>
        </w:rPr>
        <w:t xml:space="preserve"> </w:t>
      </w:r>
      <w:r w:rsidRPr="00531BD3">
        <w:rPr>
          <w:rFonts w:ascii="Century" w:hAnsi="Century" w:hint="eastAsia"/>
          <w:sz w:val="22"/>
          <w:rtl/>
        </w:rPr>
        <w:t>המרמה</w:t>
      </w:r>
      <w:r w:rsidRPr="00531BD3">
        <w:rPr>
          <w:rFonts w:ascii="Century" w:hAnsi="Century"/>
          <w:sz w:val="22"/>
          <w:rtl/>
        </w:rPr>
        <w:t xml:space="preserve"> </w:t>
      </w:r>
      <w:r w:rsidRPr="00531BD3">
        <w:rPr>
          <w:rFonts w:ascii="Century" w:hAnsi="Century" w:hint="eastAsia"/>
          <w:sz w:val="22"/>
          <w:rtl/>
        </w:rPr>
        <w:t>והפרת</w:t>
      </w:r>
      <w:r w:rsidRPr="00531BD3">
        <w:rPr>
          <w:rFonts w:ascii="Century" w:hAnsi="Century"/>
          <w:sz w:val="22"/>
          <w:rtl/>
        </w:rPr>
        <w:t xml:space="preserve"> </w:t>
      </w:r>
      <w:r w:rsidRPr="00531BD3">
        <w:rPr>
          <w:rFonts w:ascii="Century" w:hAnsi="Century" w:hint="eastAsia"/>
          <w:sz w:val="22"/>
          <w:rtl/>
        </w:rPr>
        <w:t>אמונים</w:t>
      </w:r>
      <w:r w:rsidRPr="00531BD3">
        <w:rPr>
          <w:rFonts w:ascii="Century" w:hAnsi="Century"/>
          <w:sz w:val="22"/>
          <w:rtl/>
        </w:rPr>
        <w:t xml:space="preserve"> </w:t>
      </w:r>
      <w:r w:rsidR="006276BF">
        <w:rPr>
          <w:rFonts w:ascii="Century" w:hAnsi="Century" w:hint="cs"/>
          <w:sz w:val="22"/>
          <w:rtl/>
        </w:rPr>
        <w:t xml:space="preserve">בתאגיד </w:t>
      </w:r>
      <w:r w:rsidRPr="00531BD3">
        <w:rPr>
          <w:rFonts w:ascii="Century" w:hAnsi="Century"/>
          <w:sz w:val="22"/>
          <w:rtl/>
        </w:rPr>
        <w:t>(</w:t>
      </w:r>
      <w:r w:rsidRPr="00531BD3">
        <w:rPr>
          <w:rFonts w:ascii="Century" w:hAnsi="Century" w:hint="eastAsia"/>
          <w:sz w:val="22"/>
          <w:rtl/>
        </w:rPr>
        <w:t>וראו</w:t>
      </w:r>
      <w:r w:rsidRPr="00531BD3">
        <w:rPr>
          <w:rFonts w:ascii="Century" w:hAnsi="Century"/>
          <w:sz w:val="22"/>
          <w:rtl/>
        </w:rPr>
        <w:t xml:space="preserve"> </w:t>
      </w:r>
      <w:r w:rsidRPr="00531BD3">
        <w:rPr>
          <w:rFonts w:ascii="Century" w:hAnsi="Century" w:hint="eastAsia"/>
          <w:sz w:val="22"/>
          <w:rtl/>
        </w:rPr>
        <w:t>למשל</w:t>
      </w:r>
      <w:r w:rsidRPr="00531BD3">
        <w:rPr>
          <w:rFonts w:ascii="Century" w:hAnsi="Century"/>
          <w:sz w:val="22"/>
          <w:rtl/>
        </w:rPr>
        <w:t xml:space="preserve">: </w:t>
      </w:r>
      <w:r w:rsidRPr="00531BD3">
        <w:rPr>
          <w:rFonts w:ascii="Century" w:hAnsi="Century" w:hint="eastAsia"/>
          <w:sz w:val="22"/>
          <w:rtl/>
        </w:rPr>
        <w:t>ענין</w:t>
      </w:r>
      <w:r w:rsidRPr="00531BD3">
        <w:rPr>
          <w:rFonts w:ascii="Century" w:hAnsi="Century"/>
          <w:sz w:val="22"/>
          <w:rtl/>
        </w:rPr>
        <w:t xml:space="preserve"> </w:t>
      </w:r>
      <w:proofErr w:type="spellStart"/>
      <w:r w:rsidRPr="00531BD3">
        <w:rPr>
          <w:rFonts w:ascii="Century" w:hAnsi="Century" w:cs="Miriam" w:hint="eastAsia"/>
          <w:b/>
          <w:spacing w:val="0"/>
          <w:sz w:val="22"/>
          <w:szCs w:val="24"/>
          <w:rtl/>
        </w:rPr>
        <w:t>טטרו</w:t>
      </w:r>
      <w:proofErr w:type="spellEnd"/>
      <w:r w:rsidRPr="00531BD3">
        <w:rPr>
          <w:rFonts w:ascii="Century" w:hAnsi="Century"/>
          <w:sz w:val="22"/>
          <w:rtl/>
        </w:rPr>
        <w:t xml:space="preserve">, </w:t>
      </w:r>
      <w:r w:rsidRPr="00531BD3">
        <w:rPr>
          <w:rFonts w:ascii="Century" w:hAnsi="Century" w:hint="eastAsia"/>
          <w:sz w:val="22"/>
          <w:rtl/>
        </w:rPr>
        <w:t>פסקה</w:t>
      </w:r>
      <w:r w:rsidRPr="00531BD3">
        <w:rPr>
          <w:rFonts w:ascii="Century" w:hAnsi="Century"/>
          <w:sz w:val="22"/>
          <w:rtl/>
        </w:rPr>
        <w:t xml:space="preserve"> 4 </w:t>
      </w:r>
      <w:r w:rsidRPr="00531BD3">
        <w:rPr>
          <w:rFonts w:ascii="Century" w:hAnsi="Century" w:hint="eastAsia"/>
          <w:sz w:val="22"/>
          <w:rtl/>
        </w:rPr>
        <w:t>ל</w:t>
      </w:r>
      <w:r>
        <w:rPr>
          <w:rFonts w:ascii="Century" w:hAnsi="Century" w:hint="cs"/>
          <w:sz w:val="22"/>
          <w:rtl/>
        </w:rPr>
        <w:t xml:space="preserve">חוות דעתו </w:t>
      </w:r>
      <w:r w:rsidRPr="00531BD3">
        <w:rPr>
          <w:rFonts w:ascii="Century" w:hAnsi="Century" w:hint="eastAsia"/>
          <w:sz w:val="22"/>
          <w:rtl/>
        </w:rPr>
        <w:t>של</w:t>
      </w:r>
      <w:r w:rsidRPr="00531BD3">
        <w:rPr>
          <w:rFonts w:ascii="Century" w:hAnsi="Century"/>
          <w:sz w:val="22"/>
          <w:rtl/>
        </w:rPr>
        <w:t xml:space="preserve"> </w:t>
      </w:r>
      <w:r w:rsidRPr="00531BD3">
        <w:rPr>
          <w:rFonts w:ascii="Century" w:hAnsi="Century" w:hint="eastAsia"/>
          <w:sz w:val="22"/>
          <w:rtl/>
        </w:rPr>
        <w:t>השופט</w:t>
      </w:r>
      <w:r w:rsidRPr="00531BD3">
        <w:rPr>
          <w:rFonts w:ascii="Century" w:hAnsi="Century"/>
          <w:sz w:val="22"/>
          <w:rtl/>
        </w:rPr>
        <w:t xml:space="preserve"> </w:t>
      </w:r>
      <w:r w:rsidRPr="00531BD3">
        <w:rPr>
          <w:rFonts w:ascii="Century" w:hAnsi="Century" w:cs="Miriam" w:hint="eastAsia"/>
          <w:b/>
          <w:spacing w:val="0"/>
          <w:sz w:val="22"/>
          <w:szCs w:val="24"/>
          <w:rtl/>
        </w:rPr>
        <w:t>נ</w:t>
      </w:r>
      <w:r w:rsidRPr="00531BD3">
        <w:rPr>
          <w:rFonts w:ascii="Century" w:hAnsi="Century" w:cs="Miriam"/>
          <w:b/>
          <w:spacing w:val="0"/>
          <w:sz w:val="22"/>
          <w:szCs w:val="24"/>
          <w:rtl/>
        </w:rPr>
        <w:t xml:space="preserve">' </w:t>
      </w:r>
      <w:r w:rsidRPr="00531BD3">
        <w:rPr>
          <w:rFonts w:ascii="Century" w:hAnsi="Century" w:cs="Miriam" w:hint="eastAsia"/>
          <w:b/>
          <w:spacing w:val="0"/>
          <w:sz w:val="22"/>
          <w:szCs w:val="24"/>
          <w:rtl/>
        </w:rPr>
        <w:t>הנדל</w:t>
      </w:r>
      <w:r w:rsidRPr="00531BD3">
        <w:rPr>
          <w:rFonts w:ascii="Century" w:hAnsi="Century"/>
          <w:sz w:val="22"/>
          <w:rtl/>
        </w:rPr>
        <w:t xml:space="preserve">; </w:t>
      </w:r>
      <w:r w:rsidRPr="00531BD3">
        <w:rPr>
          <w:rFonts w:ascii="Century" w:hAnsi="Century" w:hint="eastAsia"/>
          <w:sz w:val="22"/>
          <w:rtl/>
        </w:rPr>
        <w:t>וראו</w:t>
      </w:r>
      <w:r w:rsidRPr="00531BD3">
        <w:rPr>
          <w:rFonts w:ascii="Century" w:hAnsi="Century"/>
          <w:sz w:val="22"/>
          <w:rtl/>
        </w:rPr>
        <w:t xml:space="preserve"> </w:t>
      </w:r>
      <w:r w:rsidRPr="00531BD3">
        <w:rPr>
          <w:rFonts w:ascii="Century" w:hAnsi="Century" w:hint="eastAsia"/>
          <w:sz w:val="22"/>
          <w:rtl/>
        </w:rPr>
        <w:t>למשל</w:t>
      </w:r>
      <w:r w:rsidRPr="00531BD3">
        <w:rPr>
          <w:rFonts w:ascii="Century" w:hAnsi="Century"/>
          <w:sz w:val="22"/>
          <w:rtl/>
        </w:rPr>
        <w:t xml:space="preserve"> </w:t>
      </w:r>
      <w:r w:rsidRPr="00531BD3">
        <w:rPr>
          <w:rFonts w:ascii="Century" w:hAnsi="Century" w:hint="eastAsia"/>
          <w:sz w:val="22"/>
          <w:rtl/>
        </w:rPr>
        <w:t>בקשר</w:t>
      </w:r>
      <w:r w:rsidRPr="00531BD3">
        <w:rPr>
          <w:rFonts w:ascii="Century" w:hAnsi="Century"/>
          <w:sz w:val="22"/>
          <w:rtl/>
        </w:rPr>
        <w:t xml:space="preserve"> </w:t>
      </w:r>
      <w:r w:rsidRPr="00531BD3">
        <w:rPr>
          <w:rFonts w:ascii="Century" w:hAnsi="Century" w:hint="eastAsia"/>
          <w:sz w:val="22"/>
          <w:rtl/>
        </w:rPr>
        <w:t>לעבירת</w:t>
      </w:r>
      <w:r w:rsidRPr="00531BD3">
        <w:rPr>
          <w:rFonts w:ascii="Century" w:hAnsi="Century"/>
          <w:sz w:val="22"/>
          <w:rtl/>
        </w:rPr>
        <w:t xml:space="preserve"> </w:t>
      </w:r>
      <w:r w:rsidRPr="00531BD3">
        <w:rPr>
          <w:rFonts w:ascii="Century" w:hAnsi="Century" w:hint="eastAsia"/>
          <w:sz w:val="22"/>
          <w:rtl/>
        </w:rPr>
        <w:t>המרמה</w:t>
      </w:r>
      <w:r w:rsidRPr="00531BD3">
        <w:rPr>
          <w:rFonts w:ascii="Century" w:hAnsi="Century"/>
          <w:sz w:val="22"/>
          <w:rtl/>
        </w:rPr>
        <w:t xml:space="preserve"> </w:t>
      </w:r>
      <w:r w:rsidRPr="00531BD3">
        <w:rPr>
          <w:rFonts w:ascii="Century" w:hAnsi="Century" w:hint="eastAsia"/>
          <w:sz w:val="22"/>
          <w:rtl/>
        </w:rPr>
        <w:t>והפרת</w:t>
      </w:r>
      <w:r w:rsidRPr="00531BD3">
        <w:rPr>
          <w:rFonts w:ascii="Century" w:hAnsi="Century"/>
          <w:sz w:val="22"/>
          <w:rtl/>
        </w:rPr>
        <w:t xml:space="preserve"> </w:t>
      </w:r>
      <w:r w:rsidRPr="00531BD3">
        <w:rPr>
          <w:rFonts w:ascii="Century" w:hAnsi="Century" w:hint="eastAsia"/>
          <w:sz w:val="22"/>
          <w:rtl/>
        </w:rPr>
        <w:t>אמונים</w:t>
      </w:r>
      <w:r w:rsidRPr="00531BD3">
        <w:rPr>
          <w:rFonts w:ascii="Century" w:hAnsi="Century"/>
          <w:sz w:val="22"/>
          <w:rtl/>
        </w:rPr>
        <w:t xml:space="preserve"> </w:t>
      </w:r>
      <w:r w:rsidRPr="00531BD3">
        <w:rPr>
          <w:rFonts w:ascii="Century" w:hAnsi="Century" w:hint="eastAsia"/>
          <w:sz w:val="22"/>
          <w:rtl/>
        </w:rPr>
        <w:t>של</w:t>
      </w:r>
      <w:r w:rsidRPr="00531BD3">
        <w:rPr>
          <w:rFonts w:ascii="Century" w:hAnsi="Century"/>
          <w:sz w:val="22"/>
          <w:rtl/>
        </w:rPr>
        <w:t xml:space="preserve"> </w:t>
      </w:r>
      <w:r w:rsidRPr="00531BD3">
        <w:rPr>
          <w:rFonts w:ascii="Century" w:hAnsi="Century" w:hint="eastAsia"/>
          <w:sz w:val="22"/>
          <w:rtl/>
        </w:rPr>
        <w:t>עובד</w:t>
      </w:r>
      <w:r w:rsidRPr="00531BD3">
        <w:rPr>
          <w:rFonts w:ascii="Century" w:hAnsi="Century"/>
          <w:sz w:val="22"/>
          <w:rtl/>
        </w:rPr>
        <w:t xml:space="preserve"> </w:t>
      </w:r>
      <w:r w:rsidRPr="00531BD3">
        <w:rPr>
          <w:rFonts w:ascii="Century" w:hAnsi="Century" w:hint="eastAsia"/>
          <w:sz w:val="22"/>
          <w:rtl/>
        </w:rPr>
        <w:t>ציבור</w:t>
      </w:r>
      <w:r w:rsidRPr="00531BD3">
        <w:rPr>
          <w:rFonts w:ascii="Century" w:hAnsi="Century"/>
          <w:sz w:val="22"/>
          <w:rtl/>
        </w:rPr>
        <w:t xml:space="preserve">: </w:t>
      </w:r>
      <w:r w:rsidRPr="00531BD3">
        <w:rPr>
          <w:rFonts w:ascii="Century" w:hAnsi="Century" w:hint="eastAsia"/>
          <w:sz w:val="22"/>
          <w:rtl/>
        </w:rPr>
        <w:t>ע</w:t>
      </w:r>
      <w:r w:rsidRPr="00531BD3">
        <w:rPr>
          <w:rFonts w:ascii="Century" w:hAnsi="Century"/>
          <w:sz w:val="22"/>
          <w:rtl/>
        </w:rPr>
        <w:t>"</w:t>
      </w:r>
      <w:r w:rsidRPr="00531BD3">
        <w:rPr>
          <w:rFonts w:ascii="Century" w:hAnsi="Century" w:hint="eastAsia"/>
          <w:sz w:val="22"/>
          <w:rtl/>
        </w:rPr>
        <w:t>פ</w:t>
      </w:r>
      <w:r w:rsidRPr="00531BD3">
        <w:rPr>
          <w:rFonts w:ascii="Century" w:hAnsi="Century"/>
          <w:sz w:val="22"/>
          <w:rtl/>
        </w:rPr>
        <w:t xml:space="preserve"> 884/80‏</w:t>
      </w:r>
      <w:r w:rsidRPr="00531BD3">
        <w:rPr>
          <w:rFonts w:ascii="Century" w:hAnsi="Century" w:hint="eastAsia"/>
          <w:sz w:val="22"/>
          <w:cs/>
        </w:rPr>
        <w:t>‎</w:t>
      </w:r>
      <w:r w:rsidRPr="00531BD3">
        <w:rPr>
          <w:rFonts w:ascii="Century" w:hAnsi="Century"/>
          <w:sz w:val="22"/>
        </w:rPr>
        <w:t xml:space="preserve"> </w:t>
      </w:r>
      <w:r w:rsidRPr="00531BD3">
        <w:rPr>
          <w:rFonts w:ascii="Century" w:hAnsi="Century" w:hint="eastAsia"/>
          <w:sz w:val="22"/>
          <w:cs/>
        </w:rPr>
        <w:t>‎</w:t>
      </w:r>
      <w:r w:rsidRPr="00531BD3">
        <w:rPr>
          <w:rFonts w:ascii="Century" w:hAnsi="Century" w:cs="Miriam" w:hint="eastAsia"/>
          <w:b/>
          <w:spacing w:val="0"/>
          <w:sz w:val="22"/>
          <w:szCs w:val="24"/>
          <w:rtl/>
        </w:rPr>
        <w:t>מדינת</w:t>
      </w:r>
      <w:r w:rsidRPr="00531BD3">
        <w:rPr>
          <w:rFonts w:ascii="Century" w:hAnsi="Century" w:cs="Miriam"/>
          <w:b/>
          <w:spacing w:val="0"/>
          <w:sz w:val="22"/>
          <w:szCs w:val="24"/>
          <w:rtl/>
        </w:rPr>
        <w:t xml:space="preserve"> </w:t>
      </w:r>
      <w:r w:rsidRPr="00531BD3">
        <w:rPr>
          <w:rFonts w:ascii="Century" w:hAnsi="Century" w:cs="Miriam" w:hint="eastAsia"/>
          <w:b/>
          <w:spacing w:val="0"/>
          <w:sz w:val="22"/>
          <w:szCs w:val="24"/>
          <w:rtl/>
        </w:rPr>
        <w:t>ישראל</w:t>
      </w:r>
      <w:r w:rsidRPr="00531BD3">
        <w:rPr>
          <w:rFonts w:ascii="Century" w:hAnsi="Century" w:cs="Miriam" w:hint="eastAsia"/>
          <w:b/>
          <w:spacing w:val="0"/>
          <w:sz w:val="22"/>
          <w:szCs w:val="24"/>
          <w:cs/>
        </w:rPr>
        <w:t>‎</w:t>
      </w:r>
      <w:r w:rsidRPr="00531BD3">
        <w:rPr>
          <w:rFonts w:ascii="Century" w:hAnsi="Century" w:cs="Miriam"/>
          <w:b/>
          <w:spacing w:val="0"/>
          <w:sz w:val="22"/>
          <w:szCs w:val="24"/>
        </w:rPr>
        <w:t xml:space="preserve"> </w:t>
      </w:r>
      <w:r w:rsidRPr="00531BD3">
        <w:rPr>
          <w:rFonts w:ascii="Century" w:hAnsi="Century" w:cs="Miriam" w:hint="eastAsia"/>
          <w:b/>
          <w:spacing w:val="0"/>
          <w:sz w:val="22"/>
          <w:szCs w:val="24"/>
          <w:cs/>
        </w:rPr>
        <w:t>‎</w:t>
      </w:r>
      <w:r w:rsidRPr="00531BD3">
        <w:rPr>
          <w:rFonts w:ascii="Century" w:hAnsi="Century" w:cs="Miriam" w:hint="eastAsia"/>
          <w:b/>
          <w:spacing w:val="0"/>
          <w:sz w:val="22"/>
          <w:szCs w:val="24"/>
          <w:rtl/>
        </w:rPr>
        <w:t>נ</w:t>
      </w:r>
      <w:r w:rsidRPr="00531BD3">
        <w:rPr>
          <w:rFonts w:ascii="Century" w:hAnsi="Century" w:cs="Miriam"/>
          <w:b/>
          <w:spacing w:val="0"/>
          <w:sz w:val="22"/>
          <w:szCs w:val="24"/>
          <w:rtl/>
        </w:rPr>
        <w:t xml:space="preserve">' </w:t>
      </w:r>
      <w:r w:rsidRPr="00531BD3">
        <w:rPr>
          <w:rFonts w:ascii="Century" w:hAnsi="Century" w:cs="Miriam" w:hint="eastAsia"/>
          <w:b/>
          <w:spacing w:val="0"/>
          <w:sz w:val="22"/>
          <w:szCs w:val="24"/>
          <w:rtl/>
        </w:rPr>
        <w:t>גרוסמן</w:t>
      </w:r>
      <w:r w:rsidRPr="00531BD3">
        <w:rPr>
          <w:rFonts w:ascii="Century" w:hAnsi="Century"/>
          <w:sz w:val="22"/>
          <w:rtl/>
        </w:rPr>
        <w:t xml:space="preserve">, </w:t>
      </w:r>
      <w:r w:rsidRPr="00531BD3">
        <w:rPr>
          <w:rFonts w:ascii="Century" w:hAnsi="Century" w:hint="eastAsia"/>
          <w:sz w:val="22"/>
          <w:rtl/>
        </w:rPr>
        <w:t>פ</w:t>
      </w:r>
      <w:r w:rsidRPr="00531BD3">
        <w:rPr>
          <w:rFonts w:ascii="Century" w:hAnsi="Century" w:hint="cs"/>
          <w:sz w:val="22"/>
          <w:rtl/>
        </w:rPr>
        <w:t>"</w:t>
      </w:r>
      <w:r w:rsidRPr="00531BD3">
        <w:rPr>
          <w:rFonts w:ascii="Century" w:hAnsi="Century" w:hint="eastAsia"/>
          <w:sz w:val="22"/>
          <w:rtl/>
        </w:rPr>
        <w:t>ד</w:t>
      </w:r>
      <w:r w:rsidRPr="00531BD3">
        <w:rPr>
          <w:rFonts w:ascii="Century" w:hAnsi="Century"/>
          <w:sz w:val="22"/>
          <w:rtl/>
        </w:rPr>
        <w:t xml:space="preserve"> </w:t>
      </w:r>
      <w:r w:rsidRPr="00531BD3">
        <w:rPr>
          <w:rFonts w:ascii="Century" w:hAnsi="Century" w:hint="eastAsia"/>
          <w:sz w:val="22"/>
          <w:rtl/>
        </w:rPr>
        <w:t>לו</w:t>
      </w:r>
      <w:r w:rsidRPr="00531BD3">
        <w:rPr>
          <w:rFonts w:ascii="Century" w:hAnsi="Century"/>
          <w:sz w:val="22"/>
          <w:rtl/>
        </w:rPr>
        <w:t>(1) 405</w:t>
      </w:r>
      <w:r w:rsidRPr="00531BD3">
        <w:rPr>
          <w:rFonts w:ascii="Century" w:hAnsi="Century" w:hint="cs"/>
          <w:sz w:val="22"/>
          <w:rtl/>
        </w:rPr>
        <w:t xml:space="preserve">, 417-416 (1982) (להלן: עניין </w:t>
      </w:r>
      <w:r w:rsidRPr="00531BD3">
        <w:rPr>
          <w:rFonts w:ascii="Century" w:hAnsi="Century" w:cs="Miriam" w:hint="cs"/>
          <w:b/>
          <w:spacing w:val="0"/>
          <w:sz w:val="22"/>
          <w:szCs w:val="24"/>
          <w:rtl/>
        </w:rPr>
        <w:t>גרוסמן</w:t>
      </w:r>
      <w:r w:rsidRPr="00531BD3">
        <w:rPr>
          <w:rFonts w:ascii="Century" w:hAnsi="Century" w:hint="cs"/>
          <w:sz w:val="22"/>
          <w:rtl/>
        </w:rPr>
        <w:t xml:space="preserve">)). זאת אף כי הגבול הראוי בין התחום האזרחי לפלילי עודנו עמום, ולא כל הפרת אמונים במובן האזרחי בהכרח תיחשב </w:t>
      </w:r>
      <w:r w:rsidRPr="00531BD3">
        <w:rPr>
          <w:rFonts w:ascii="Century" w:hAnsi="Century" w:hint="cs"/>
          <w:sz w:val="22"/>
          <w:rtl/>
        </w:rPr>
        <w:lastRenderedPageBreak/>
        <w:t xml:space="preserve">כעבירה פלילית (ראו למשל: </w:t>
      </w:r>
      <w:r w:rsidRPr="00531BD3">
        <w:rPr>
          <w:rFonts w:ascii="Century" w:hAnsi="Century" w:hint="eastAsia"/>
          <w:sz w:val="22"/>
          <w:rtl/>
        </w:rPr>
        <w:t>יובל</w:t>
      </w:r>
      <w:r w:rsidRPr="00531BD3">
        <w:rPr>
          <w:rFonts w:ascii="Century" w:hAnsi="Century"/>
          <w:sz w:val="22"/>
          <w:rtl/>
        </w:rPr>
        <w:t xml:space="preserve"> </w:t>
      </w:r>
      <w:proofErr w:type="spellStart"/>
      <w:r w:rsidRPr="00531BD3">
        <w:rPr>
          <w:rFonts w:ascii="Century" w:hAnsi="Century" w:hint="eastAsia"/>
          <w:sz w:val="22"/>
          <w:rtl/>
        </w:rPr>
        <w:t>קרניאל</w:t>
      </w:r>
      <w:proofErr w:type="spellEnd"/>
      <w:r w:rsidRPr="00531BD3">
        <w:rPr>
          <w:rFonts w:ascii="Century" w:hAnsi="Century"/>
          <w:sz w:val="22"/>
          <w:rtl/>
        </w:rPr>
        <w:t xml:space="preserve"> </w:t>
      </w:r>
      <w:r w:rsidRPr="00531BD3">
        <w:rPr>
          <w:rFonts w:ascii="Century" w:hAnsi="Century" w:cs="Miriam" w:hint="eastAsia"/>
          <w:b/>
          <w:spacing w:val="0"/>
          <w:sz w:val="22"/>
          <w:szCs w:val="24"/>
          <w:rtl/>
        </w:rPr>
        <w:t>הפרת</w:t>
      </w:r>
      <w:r w:rsidRPr="00531BD3">
        <w:rPr>
          <w:rFonts w:ascii="Century" w:hAnsi="Century" w:cs="Miriam"/>
          <w:b/>
          <w:spacing w:val="0"/>
          <w:sz w:val="22"/>
          <w:szCs w:val="24"/>
          <w:rtl/>
        </w:rPr>
        <w:t xml:space="preserve"> </w:t>
      </w:r>
      <w:r w:rsidRPr="00531BD3">
        <w:rPr>
          <w:rFonts w:ascii="Century" w:hAnsi="Century" w:cs="Miriam" w:hint="eastAsia"/>
          <w:b/>
          <w:spacing w:val="0"/>
          <w:sz w:val="22"/>
          <w:szCs w:val="24"/>
          <w:rtl/>
        </w:rPr>
        <w:t>אמונים</w:t>
      </w:r>
      <w:r w:rsidRPr="00531BD3">
        <w:rPr>
          <w:rFonts w:ascii="Century" w:hAnsi="Century" w:cs="Miriam"/>
          <w:b/>
          <w:spacing w:val="0"/>
          <w:sz w:val="22"/>
          <w:szCs w:val="24"/>
          <w:rtl/>
        </w:rPr>
        <w:t xml:space="preserve"> </w:t>
      </w:r>
      <w:r w:rsidRPr="00531BD3">
        <w:rPr>
          <w:rFonts w:ascii="Century" w:hAnsi="Century" w:cs="Miriam" w:hint="eastAsia"/>
          <w:b/>
          <w:spacing w:val="0"/>
          <w:sz w:val="22"/>
          <w:szCs w:val="24"/>
          <w:rtl/>
        </w:rPr>
        <w:t>בתאגיד</w:t>
      </w:r>
      <w:r w:rsidRPr="00531BD3">
        <w:rPr>
          <w:rFonts w:ascii="Century" w:hAnsi="Century" w:cs="Miriam"/>
          <w:b/>
          <w:spacing w:val="0"/>
          <w:sz w:val="22"/>
          <w:szCs w:val="24"/>
          <w:rtl/>
        </w:rPr>
        <w:t xml:space="preserve"> </w:t>
      </w:r>
      <w:r w:rsidRPr="00531BD3">
        <w:rPr>
          <w:rFonts w:ascii="Century" w:hAnsi="Century" w:cs="Miriam" w:hint="eastAsia"/>
          <w:b/>
          <w:spacing w:val="0"/>
          <w:sz w:val="22"/>
          <w:szCs w:val="24"/>
          <w:rtl/>
        </w:rPr>
        <w:t>במשפט</w:t>
      </w:r>
      <w:r w:rsidRPr="00531BD3">
        <w:rPr>
          <w:rFonts w:ascii="Century" w:hAnsi="Century" w:cs="Miriam"/>
          <w:b/>
          <w:spacing w:val="0"/>
          <w:sz w:val="22"/>
          <w:szCs w:val="24"/>
          <w:rtl/>
        </w:rPr>
        <w:t xml:space="preserve"> </w:t>
      </w:r>
      <w:r w:rsidRPr="00531BD3">
        <w:rPr>
          <w:rFonts w:ascii="Century" w:hAnsi="Century" w:cs="Miriam" w:hint="eastAsia"/>
          <w:b/>
          <w:spacing w:val="0"/>
          <w:sz w:val="22"/>
          <w:szCs w:val="24"/>
          <w:rtl/>
        </w:rPr>
        <w:t>האזרחי</w:t>
      </w:r>
      <w:r w:rsidRPr="00531BD3">
        <w:rPr>
          <w:rFonts w:ascii="Century" w:hAnsi="Century" w:cs="Miriam"/>
          <w:b/>
          <w:spacing w:val="0"/>
          <w:sz w:val="22"/>
          <w:szCs w:val="24"/>
          <w:rtl/>
        </w:rPr>
        <w:t xml:space="preserve"> </w:t>
      </w:r>
      <w:r w:rsidRPr="00531BD3">
        <w:rPr>
          <w:rFonts w:ascii="Century" w:hAnsi="Century" w:cs="Miriam" w:hint="eastAsia"/>
          <w:b/>
          <w:spacing w:val="0"/>
          <w:sz w:val="22"/>
          <w:szCs w:val="24"/>
          <w:rtl/>
        </w:rPr>
        <w:t>והפלילי</w:t>
      </w:r>
      <w:r w:rsidRPr="00531BD3">
        <w:rPr>
          <w:rFonts w:ascii="Century" w:hAnsi="Century"/>
          <w:sz w:val="22"/>
          <w:rtl/>
        </w:rPr>
        <w:t xml:space="preserve">, </w:t>
      </w:r>
      <w:r w:rsidRPr="00531BD3">
        <w:rPr>
          <w:rFonts w:ascii="Century" w:hAnsi="Century" w:hint="eastAsia"/>
          <w:sz w:val="22"/>
          <w:rtl/>
        </w:rPr>
        <w:t>עמ</w:t>
      </w:r>
      <w:r w:rsidRPr="00531BD3">
        <w:rPr>
          <w:rFonts w:ascii="Century" w:hAnsi="Century"/>
          <w:sz w:val="22"/>
          <w:rtl/>
        </w:rPr>
        <w:t>' 178-168 (2001) (</w:t>
      </w:r>
      <w:r w:rsidRPr="00531BD3">
        <w:rPr>
          <w:rFonts w:ascii="Century" w:hAnsi="Century" w:hint="eastAsia"/>
          <w:sz w:val="22"/>
          <w:rtl/>
        </w:rPr>
        <w:t>להלן</w:t>
      </w:r>
      <w:r w:rsidRPr="00531BD3">
        <w:rPr>
          <w:rFonts w:ascii="Century" w:hAnsi="Century"/>
          <w:sz w:val="22"/>
          <w:rtl/>
        </w:rPr>
        <w:t xml:space="preserve">: </w:t>
      </w:r>
      <w:proofErr w:type="spellStart"/>
      <w:r w:rsidRPr="00531BD3">
        <w:rPr>
          <w:rFonts w:ascii="Century" w:hAnsi="Century" w:cs="Miriam" w:hint="eastAsia"/>
          <w:b/>
          <w:spacing w:val="0"/>
          <w:sz w:val="22"/>
          <w:szCs w:val="24"/>
          <w:rtl/>
        </w:rPr>
        <w:t>קרניאל</w:t>
      </w:r>
      <w:proofErr w:type="spellEnd"/>
      <w:r w:rsidRPr="00531BD3">
        <w:rPr>
          <w:rFonts w:ascii="Century" w:hAnsi="Century"/>
          <w:sz w:val="22"/>
          <w:rtl/>
        </w:rPr>
        <w:t xml:space="preserve">); </w:t>
      </w:r>
      <w:r w:rsidRPr="00531BD3">
        <w:rPr>
          <w:rFonts w:ascii="Century" w:hAnsi="Century" w:hint="eastAsia"/>
          <w:sz w:val="22"/>
          <w:rtl/>
        </w:rPr>
        <w:t>עניין</w:t>
      </w:r>
      <w:r w:rsidRPr="00531BD3">
        <w:rPr>
          <w:rFonts w:ascii="Century" w:hAnsi="Century"/>
          <w:sz w:val="22"/>
          <w:rtl/>
        </w:rPr>
        <w:t xml:space="preserve"> </w:t>
      </w:r>
      <w:proofErr w:type="spellStart"/>
      <w:r w:rsidRPr="00531BD3">
        <w:rPr>
          <w:rFonts w:ascii="Century" w:hAnsi="Century" w:cs="Miriam" w:hint="eastAsia"/>
          <w:b/>
          <w:spacing w:val="0"/>
          <w:sz w:val="22"/>
          <w:szCs w:val="24"/>
          <w:rtl/>
        </w:rPr>
        <w:t>טטרו</w:t>
      </w:r>
      <w:proofErr w:type="spellEnd"/>
      <w:r w:rsidRPr="00531BD3">
        <w:rPr>
          <w:rFonts w:ascii="Century" w:hAnsi="Century"/>
          <w:sz w:val="22"/>
          <w:rtl/>
        </w:rPr>
        <w:t xml:space="preserve">, </w:t>
      </w:r>
      <w:r w:rsidRPr="00531BD3">
        <w:rPr>
          <w:rFonts w:ascii="Century" w:hAnsi="Century" w:hint="eastAsia"/>
          <w:sz w:val="22"/>
          <w:rtl/>
        </w:rPr>
        <w:t>פסקאות</w:t>
      </w:r>
      <w:r w:rsidRPr="00531BD3">
        <w:rPr>
          <w:rFonts w:ascii="Century" w:hAnsi="Century"/>
          <w:sz w:val="22"/>
          <w:rtl/>
        </w:rPr>
        <w:t xml:space="preserve"> 30-29). </w:t>
      </w:r>
    </w:p>
    <w:p w:rsidR="008A4DD4" w:rsidRPr="00531BD3" w:rsidRDefault="008A4DD4" w:rsidP="008A4DD4">
      <w:pPr>
        <w:pStyle w:val="Ruller4"/>
        <w:numPr>
          <w:ilvl w:val="0"/>
          <w:numId w:val="0"/>
        </w:numPr>
        <w:rPr>
          <w:rFonts w:ascii="FrankRuehl" w:hAnsi="FrankRuehl"/>
          <w:color w:val="000000"/>
          <w:sz w:val="28"/>
        </w:rPr>
      </w:pPr>
    </w:p>
    <w:p w:rsidR="008A4DD4" w:rsidRPr="00531BD3" w:rsidRDefault="008A4DD4" w:rsidP="008A4DD4">
      <w:pPr>
        <w:pStyle w:val="Ruller4"/>
        <w:rPr>
          <w:rtl/>
        </w:rPr>
      </w:pPr>
      <w:r w:rsidRPr="00531BD3">
        <w:rPr>
          <w:rFonts w:hint="cs"/>
          <w:rtl/>
        </w:rPr>
        <w:t>אין חולק כי נדרשת מידה של זהירות בהעמדה לדין בגין עבירה זו וכי יש לפרש את האיסור הפלילי באופן שבו גבולותיו יגדרו התנהגות פסולה הפוגעת פגיעה ממשית בערך החברתי המוגן (</w:t>
      </w:r>
      <w:r>
        <w:rPr>
          <w:rFonts w:hint="cs"/>
          <w:rtl/>
        </w:rPr>
        <w:t xml:space="preserve">עניין </w:t>
      </w:r>
      <w:r w:rsidRPr="00531BD3">
        <w:rPr>
          <w:rFonts w:ascii="Century" w:hAnsi="Century" w:cs="Miriam" w:hint="eastAsia"/>
          <w:b/>
          <w:spacing w:val="0"/>
          <w:sz w:val="22"/>
          <w:szCs w:val="24"/>
          <w:rtl/>
        </w:rPr>
        <w:t>דנקנר</w:t>
      </w:r>
      <w:r w:rsidRPr="00531BD3">
        <w:rPr>
          <w:rtl/>
        </w:rPr>
        <w:t xml:space="preserve">, </w:t>
      </w:r>
      <w:r w:rsidRPr="00531BD3">
        <w:rPr>
          <w:rFonts w:hint="eastAsia"/>
          <w:rtl/>
        </w:rPr>
        <w:t>פסקאות</w:t>
      </w:r>
      <w:r w:rsidRPr="00531BD3">
        <w:rPr>
          <w:rtl/>
        </w:rPr>
        <w:t xml:space="preserve"> </w:t>
      </w:r>
      <w:r w:rsidRPr="00531BD3">
        <w:rPr>
          <w:rFonts w:hint="eastAsia"/>
          <w:rtl/>
        </w:rPr>
        <w:t>נ</w:t>
      </w:r>
      <w:r w:rsidRPr="00531BD3">
        <w:rPr>
          <w:rtl/>
        </w:rPr>
        <w:t>"</w:t>
      </w:r>
      <w:r w:rsidRPr="00531BD3">
        <w:rPr>
          <w:rFonts w:hint="eastAsia"/>
          <w:rtl/>
        </w:rPr>
        <w:t>ה</w:t>
      </w:r>
      <w:r w:rsidRPr="00531BD3">
        <w:rPr>
          <w:rtl/>
        </w:rPr>
        <w:t xml:space="preserve"> </w:t>
      </w:r>
      <w:r w:rsidRPr="00531BD3">
        <w:rPr>
          <w:rFonts w:hint="eastAsia"/>
          <w:rtl/>
        </w:rPr>
        <w:t>ו</w:t>
      </w:r>
      <w:r w:rsidRPr="00531BD3">
        <w:rPr>
          <w:rtl/>
        </w:rPr>
        <w:t>-</w:t>
      </w:r>
      <w:r w:rsidRPr="00531BD3">
        <w:rPr>
          <w:rFonts w:hint="eastAsia"/>
          <w:rtl/>
        </w:rPr>
        <w:t>ס</w:t>
      </w:r>
      <w:r w:rsidRPr="00531BD3">
        <w:rPr>
          <w:rtl/>
        </w:rPr>
        <w:t>"</w:t>
      </w:r>
      <w:r w:rsidRPr="00531BD3">
        <w:rPr>
          <w:rFonts w:hint="eastAsia"/>
          <w:rtl/>
        </w:rPr>
        <w:t>ה</w:t>
      </w:r>
      <w:r w:rsidRPr="00531BD3">
        <w:rPr>
          <w:rtl/>
        </w:rPr>
        <w:t xml:space="preserve">). </w:t>
      </w:r>
      <w:r w:rsidRPr="00531BD3">
        <w:rPr>
          <w:rFonts w:hint="eastAsia"/>
          <w:rtl/>
        </w:rPr>
        <w:t>זאת</w:t>
      </w:r>
      <w:r w:rsidRPr="00531BD3">
        <w:rPr>
          <w:rtl/>
        </w:rPr>
        <w:t xml:space="preserve"> </w:t>
      </w:r>
      <w:r w:rsidRPr="00531BD3">
        <w:rPr>
          <w:rFonts w:hint="eastAsia"/>
          <w:rtl/>
        </w:rPr>
        <w:t>גם</w:t>
      </w:r>
      <w:r w:rsidRPr="00531BD3">
        <w:rPr>
          <w:rtl/>
        </w:rPr>
        <w:t xml:space="preserve"> </w:t>
      </w:r>
      <w:r w:rsidRPr="00531BD3">
        <w:rPr>
          <w:rFonts w:hint="eastAsia"/>
          <w:rtl/>
        </w:rPr>
        <w:t>נוכח</w:t>
      </w:r>
      <w:r w:rsidRPr="00531BD3">
        <w:rPr>
          <w:rtl/>
        </w:rPr>
        <w:t xml:space="preserve"> </w:t>
      </w:r>
      <w:r w:rsidRPr="00531BD3">
        <w:rPr>
          <w:rFonts w:hint="eastAsia"/>
          <w:rtl/>
        </w:rPr>
        <w:t>הפן</w:t>
      </w:r>
      <w:r w:rsidRPr="00531BD3">
        <w:rPr>
          <w:rtl/>
        </w:rPr>
        <w:t xml:space="preserve"> </w:t>
      </w:r>
      <w:r w:rsidRPr="00531BD3">
        <w:rPr>
          <w:rFonts w:hint="eastAsia"/>
          <w:rtl/>
        </w:rPr>
        <w:t>מחמיר</w:t>
      </w:r>
      <w:r w:rsidRPr="00531BD3">
        <w:rPr>
          <w:rtl/>
        </w:rPr>
        <w:t xml:space="preserve"> </w:t>
      </w:r>
      <w:r w:rsidRPr="00531BD3">
        <w:rPr>
          <w:rFonts w:hint="eastAsia"/>
          <w:rtl/>
        </w:rPr>
        <w:t>הנוסף</w:t>
      </w:r>
      <w:r w:rsidRPr="00531BD3">
        <w:rPr>
          <w:rtl/>
        </w:rPr>
        <w:t xml:space="preserve"> </w:t>
      </w:r>
      <w:r w:rsidRPr="00531BD3">
        <w:rPr>
          <w:rFonts w:hint="eastAsia"/>
          <w:rtl/>
        </w:rPr>
        <w:t>הנדרש</w:t>
      </w:r>
      <w:r w:rsidRPr="00531BD3">
        <w:rPr>
          <w:rtl/>
        </w:rPr>
        <w:t xml:space="preserve"> </w:t>
      </w:r>
      <w:r w:rsidRPr="00531BD3">
        <w:rPr>
          <w:rFonts w:hint="eastAsia"/>
          <w:rtl/>
        </w:rPr>
        <w:t>בעבירות</w:t>
      </w:r>
      <w:r w:rsidRPr="00531BD3">
        <w:rPr>
          <w:rtl/>
        </w:rPr>
        <w:t xml:space="preserve"> </w:t>
      </w:r>
      <w:r w:rsidRPr="00531BD3">
        <w:rPr>
          <w:rFonts w:hint="eastAsia"/>
          <w:rtl/>
        </w:rPr>
        <w:t>שהן</w:t>
      </w:r>
      <w:r w:rsidRPr="00531BD3">
        <w:rPr>
          <w:rtl/>
        </w:rPr>
        <w:t xml:space="preserve"> "</w:t>
      </w:r>
      <w:r w:rsidRPr="00531BD3">
        <w:rPr>
          <w:rFonts w:hint="eastAsia"/>
          <w:rtl/>
        </w:rPr>
        <w:t>רקמה</w:t>
      </w:r>
      <w:r w:rsidRPr="00531BD3">
        <w:rPr>
          <w:rtl/>
        </w:rPr>
        <w:t xml:space="preserve"> </w:t>
      </w:r>
      <w:r w:rsidRPr="00531BD3">
        <w:rPr>
          <w:rFonts w:hint="eastAsia"/>
          <w:rtl/>
        </w:rPr>
        <w:t>פתוחה</w:t>
      </w:r>
      <w:r w:rsidRPr="00531BD3">
        <w:rPr>
          <w:rtl/>
        </w:rPr>
        <w:t xml:space="preserve">" </w:t>
      </w:r>
      <w:r w:rsidRPr="00531BD3">
        <w:rPr>
          <w:rFonts w:hint="eastAsia"/>
          <w:rtl/>
        </w:rPr>
        <w:t>כגון</w:t>
      </w:r>
      <w:r w:rsidRPr="00531BD3">
        <w:rPr>
          <w:rtl/>
        </w:rPr>
        <w:t xml:space="preserve"> </w:t>
      </w:r>
      <w:r w:rsidRPr="00531BD3">
        <w:rPr>
          <w:rFonts w:hint="eastAsia"/>
          <w:rtl/>
        </w:rPr>
        <w:t>מרמה</w:t>
      </w:r>
      <w:r w:rsidRPr="00531BD3">
        <w:rPr>
          <w:rtl/>
        </w:rPr>
        <w:t xml:space="preserve"> </w:t>
      </w:r>
      <w:r w:rsidRPr="00531BD3">
        <w:rPr>
          <w:rFonts w:hint="eastAsia"/>
          <w:rtl/>
        </w:rPr>
        <w:t>והפרת</w:t>
      </w:r>
      <w:r w:rsidRPr="00531BD3">
        <w:rPr>
          <w:rtl/>
        </w:rPr>
        <w:t xml:space="preserve"> </w:t>
      </w:r>
      <w:r w:rsidRPr="00531BD3">
        <w:rPr>
          <w:rFonts w:hint="eastAsia"/>
          <w:rtl/>
        </w:rPr>
        <w:t>אמונים</w:t>
      </w:r>
      <w:r w:rsidRPr="00531BD3">
        <w:rPr>
          <w:rtl/>
        </w:rPr>
        <w:t xml:space="preserve"> </w:t>
      </w:r>
      <w:r w:rsidRPr="00531BD3">
        <w:rPr>
          <w:rFonts w:hint="eastAsia"/>
          <w:rtl/>
        </w:rPr>
        <w:t>בתאגיד</w:t>
      </w:r>
      <w:r w:rsidRPr="00531BD3">
        <w:rPr>
          <w:rtl/>
        </w:rPr>
        <w:t xml:space="preserve">, </w:t>
      </w:r>
      <w:r w:rsidRPr="00531BD3">
        <w:rPr>
          <w:rFonts w:hint="eastAsia"/>
          <w:rtl/>
        </w:rPr>
        <w:t>אשר</w:t>
      </w:r>
      <w:r w:rsidRPr="00531BD3">
        <w:rPr>
          <w:rtl/>
        </w:rPr>
        <w:t xml:space="preserve"> "</w:t>
      </w:r>
      <w:r w:rsidRPr="00531BD3">
        <w:rPr>
          <w:rFonts w:hint="eastAsia"/>
          <w:rtl/>
        </w:rPr>
        <w:t>שלא</w:t>
      </w:r>
      <w:r w:rsidRPr="00531BD3">
        <w:rPr>
          <w:rtl/>
        </w:rPr>
        <w:t xml:space="preserve"> </w:t>
      </w:r>
      <w:r w:rsidRPr="00531BD3">
        <w:rPr>
          <w:rFonts w:hint="eastAsia"/>
          <w:rtl/>
        </w:rPr>
        <w:t>כדרכן</w:t>
      </w:r>
      <w:r w:rsidRPr="00531BD3">
        <w:rPr>
          <w:rtl/>
        </w:rPr>
        <w:t xml:space="preserve"> </w:t>
      </w:r>
      <w:r w:rsidRPr="00531BD3">
        <w:rPr>
          <w:rFonts w:hint="eastAsia"/>
          <w:rtl/>
        </w:rPr>
        <w:t>של</w:t>
      </w:r>
      <w:r w:rsidRPr="00531BD3">
        <w:rPr>
          <w:rtl/>
        </w:rPr>
        <w:t xml:space="preserve"> </w:t>
      </w:r>
      <w:r w:rsidRPr="00531BD3">
        <w:rPr>
          <w:rFonts w:hint="eastAsia"/>
          <w:rtl/>
        </w:rPr>
        <w:t>עבירות</w:t>
      </w:r>
      <w:r w:rsidRPr="00531BD3">
        <w:rPr>
          <w:rtl/>
        </w:rPr>
        <w:t xml:space="preserve"> </w:t>
      </w:r>
      <w:r w:rsidRPr="00531BD3">
        <w:rPr>
          <w:rFonts w:hint="eastAsia"/>
          <w:rtl/>
        </w:rPr>
        <w:t>פליליות</w:t>
      </w:r>
      <w:r w:rsidRPr="00531BD3">
        <w:rPr>
          <w:rtl/>
        </w:rPr>
        <w:t xml:space="preserve"> </w:t>
      </w:r>
      <w:r w:rsidRPr="00531BD3">
        <w:rPr>
          <w:rFonts w:hint="eastAsia"/>
          <w:rtl/>
        </w:rPr>
        <w:t>אין</w:t>
      </w:r>
      <w:r w:rsidRPr="00531BD3">
        <w:rPr>
          <w:rtl/>
        </w:rPr>
        <w:t xml:space="preserve"> </w:t>
      </w:r>
      <w:r w:rsidRPr="00531BD3">
        <w:rPr>
          <w:rFonts w:hint="eastAsia"/>
          <w:rtl/>
        </w:rPr>
        <w:t>היא</w:t>
      </w:r>
      <w:r w:rsidRPr="00531BD3">
        <w:rPr>
          <w:rtl/>
        </w:rPr>
        <w:t xml:space="preserve"> </w:t>
      </w:r>
      <w:r w:rsidRPr="00531BD3">
        <w:rPr>
          <w:rFonts w:hint="eastAsia"/>
          <w:rtl/>
        </w:rPr>
        <w:t>בנויה</w:t>
      </w:r>
      <w:r w:rsidRPr="00531BD3">
        <w:rPr>
          <w:rtl/>
        </w:rPr>
        <w:t xml:space="preserve"> </w:t>
      </w:r>
      <w:r w:rsidRPr="00531BD3">
        <w:rPr>
          <w:rFonts w:hint="eastAsia"/>
          <w:rtl/>
        </w:rPr>
        <w:t>על</w:t>
      </w:r>
      <w:r w:rsidRPr="00531BD3">
        <w:rPr>
          <w:rtl/>
        </w:rPr>
        <w:t xml:space="preserve"> </w:t>
      </w:r>
      <w:r w:rsidRPr="00531BD3">
        <w:rPr>
          <w:rFonts w:hint="eastAsia"/>
          <w:rtl/>
        </w:rPr>
        <w:t>יסודות</w:t>
      </w:r>
      <w:r w:rsidRPr="00531BD3">
        <w:rPr>
          <w:rtl/>
        </w:rPr>
        <w:t xml:space="preserve"> </w:t>
      </w:r>
      <w:r w:rsidRPr="00531BD3">
        <w:rPr>
          <w:rFonts w:hint="eastAsia"/>
          <w:rtl/>
        </w:rPr>
        <w:t>מוגדרים</w:t>
      </w:r>
      <w:r w:rsidRPr="00531BD3">
        <w:rPr>
          <w:rtl/>
        </w:rPr>
        <w:t xml:space="preserve"> </w:t>
      </w:r>
      <w:r w:rsidRPr="00531BD3">
        <w:rPr>
          <w:rFonts w:hint="eastAsia"/>
          <w:rtl/>
        </w:rPr>
        <w:t>באורח</w:t>
      </w:r>
      <w:r w:rsidRPr="00531BD3">
        <w:rPr>
          <w:rtl/>
        </w:rPr>
        <w:t xml:space="preserve"> </w:t>
      </w:r>
      <w:r w:rsidRPr="00531BD3">
        <w:rPr>
          <w:rFonts w:hint="eastAsia"/>
          <w:rtl/>
        </w:rPr>
        <w:t>ברור</w:t>
      </w:r>
      <w:r w:rsidRPr="00531BD3">
        <w:rPr>
          <w:rtl/>
        </w:rPr>
        <w:t xml:space="preserve"> </w:t>
      </w:r>
      <w:r w:rsidRPr="00531BD3">
        <w:rPr>
          <w:rFonts w:hint="eastAsia"/>
          <w:rtl/>
        </w:rPr>
        <w:t>ומדויק</w:t>
      </w:r>
      <w:r w:rsidRPr="00531BD3">
        <w:rPr>
          <w:rtl/>
        </w:rPr>
        <w:t>" (</w:t>
      </w:r>
      <w:proofErr w:type="spellStart"/>
      <w:r w:rsidRPr="00531BD3">
        <w:rPr>
          <w:rFonts w:hint="eastAsia"/>
          <w:rtl/>
        </w:rPr>
        <w:t>דנ</w:t>
      </w:r>
      <w:r w:rsidRPr="00531BD3">
        <w:rPr>
          <w:rtl/>
        </w:rPr>
        <w:t>"</w:t>
      </w:r>
      <w:r w:rsidRPr="00531BD3">
        <w:rPr>
          <w:rFonts w:hint="eastAsia"/>
          <w:rtl/>
        </w:rPr>
        <w:t>פ</w:t>
      </w:r>
      <w:proofErr w:type="spellEnd"/>
      <w:r w:rsidRPr="00531BD3">
        <w:rPr>
          <w:rtl/>
        </w:rPr>
        <w:t xml:space="preserve"> 1397/03 </w:t>
      </w:r>
      <w:r w:rsidRPr="00531BD3">
        <w:rPr>
          <w:rFonts w:ascii="Century" w:hAnsi="Century" w:cs="Miriam" w:hint="eastAsia"/>
          <w:b/>
          <w:spacing w:val="0"/>
          <w:sz w:val="22"/>
          <w:szCs w:val="24"/>
          <w:rtl/>
        </w:rPr>
        <w:t>מדינת</w:t>
      </w:r>
      <w:r w:rsidRPr="00531BD3">
        <w:rPr>
          <w:rFonts w:ascii="Century" w:hAnsi="Century" w:cs="Miriam"/>
          <w:b/>
          <w:spacing w:val="0"/>
          <w:sz w:val="22"/>
          <w:szCs w:val="24"/>
          <w:rtl/>
        </w:rPr>
        <w:t xml:space="preserve"> </w:t>
      </w:r>
      <w:r w:rsidRPr="00531BD3">
        <w:rPr>
          <w:rFonts w:ascii="Century" w:hAnsi="Century" w:cs="Miriam" w:hint="eastAsia"/>
          <w:b/>
          <w:spacing w:val="0"/>
          <w:sz w:val="22"/>
          <w:szCs w:val="24"/>
          <w:rtl/>
        </w:rPr>
        <w:t>ישראל</w:t>
      </w:r>
      <w:r w:rsidRPr="00531BD3">
        <w:rPr>
          <w:rFonts w:ascii="Century" w:hAnsi="Century" w:cs="Miriam"/>
          <w:b/>
          <w:spacing w:val="0"/>
          <w:sz w:val="22"/>
          <w:szCs w:val="24"/>
          <w:rtl/>
        </w:rPr>
        <w:t xml:space="preserve"> </w:t>
      </w:r>
      <w:r w:rsidRPr="00531BD3">
        <w:rPr>
          <w:rFonts w:ascii="Century" w:hAnsi="Century" w:cs="Miriam" w:hint="eastAsia"/>
          <w:b/>
          <w:spacing w:val="0"/>
          <w:sz w:val="22"/>
          <w:szCs w:val="24"/>
          <w:rtl/>
        </w:rPr>
        <w:t>נ</w:t>
      </w:r>
      <w:r w:rsidRPr="00531BD3">
        <w:rPr>
          <w:rFonts w:ascii="Century" w:hAnsi="Century" w:cs="Miriam"/>
          <w:b/>
          <w:spacing w:val="0"/>
          <w:sz w:val="22"/>
          <w:szCs w:val="24"/>
          <w:rtl/>
        </w:rPr>
        <w:t xml:space="preserve">' </w:t>
      </w:r>
      <w:r w:rsidRPr="00531BD3">
        <w:rPr>
          <w:rFonts w:ascii="Century" w:hAnsi="Century" w:cs="Miriam" w:hint="eastAsia"/>
          <w:b/>
          <w:spacing w:val="0"/>
          <w:sz w:val="22"/>
          <w:szCs w:val="24"/>
          <w:rtl/>
        </w:rPr>
        <w:t>שבס</w:t>
      </w:r>
      <w:r w:rsidRPr="00531BD3">
        <w:rPr>
          <w:rtl/>
        </w:rPr>
        <w:t xml:space="preserve">, </w:t>
      </w:r>
      <w:r w:rsidRPr="00531BD3">
        <w:rPr>
          <w:rFonts w:hint="eastAsia"/>
          <w:rtl/>
        </w:rPr>
        <w:t>פ</w:t>
      </w:r>
      <w:r w:rsidRPr="00531BD3">
        <w:rPr>
          <w:rtl/>
        </w:rPr>
        <w:t>"</w:t>
      </w:r>
      <w:r w:rsidRPr="00531BD3">
        <w:rPr>
          <w:rFonts w:hint="eastAsia"/>
          <w:rtl/>
        </w:rPr>
        <w:t>ד</w:t>
      </w:r>
      <w:r w:rsidRPr="00531BD3">
        <w:rPr>
          <w:rtl/>
        </w:rPr>
        <w:t xml:space="preserve"> </w:t>
      </w:r>
      <w:r w:rsidRPr="00531BD3">
        <w:rPr>
          <w:rFonts w:hint="eastAsia"/>
          <w:rtl/>
        </w:rPr>
        <w:t>נט</w:t>
      </w:r>
      <w:r w:rsidRPr="00531BD3">
        <w:rPr>
          <w:rtl/>
        </w:rPr>
        <w:t xml:space="preserve">(4) 385, 405 (2005)). </w:t>
      </w:r>
      <w:r w:rsidRPr="00531BD3">
        <w:rPr>
          <w:rFonts w:hint="cs"/>
          <w:rtl/>
        </w:rPr>
        <w:t>אולם אין משמעות הדבר כי אין מקום להעמדה לדין בגין עבירות כגון אלו</w:t>
      </w:r>
      <w:r w:rsidRPr="00531BD3">
        <w:rPr>
          <w:rtl/>
        </w:rPr>
        <w:t xml:space="preserve"> </w:t>
      </w:r>
      <w:r w:rsidRPr="00531BD3">
        <w:rPr>
          <w:rFonts w:hint="eastAsia"/>
          <w:rtl/>
        </w:rPr>
        <w:t>ובגין</w:t>
      </w:r>
      <w:r w:rsidRPr="00531BD3">
        <w:rPr>
          <w:rtl/>
        </w:rPr>
        <w:t xml:space="preserve"> </w:t>
      </w:r>
      <w:r w:rsidRPr="00531BD3">
        <w:rPr>
          <w:rFonts w:hint="eastAsia"/>
          <w:rtl/>
        </w:rPr>
        <w:t>פעילות</w:t>
      </w:r>
      <w:r w:rsidRPr="00531BD3">
        <w:rPr>
          <w:rtl/>
        </w:rPr>
        <w:t xml:space="preserve"> </w:t>
      </w:r>
      <w:r w:rsidRPr="00531BD3">
        <w:rPr>
          <w:rFonts w:hint="eastAsia"/>
          <w:rtl/>
        </w:rPr>
        <w:t>בניגוד</w:t>
      </w:r>
      <w:r w:rsidRPr="00531BD3">
        <w:rPr>
          <w:rtl/>
        </w:rPr>
        <w:t xml:space="preserve"> </w:t>
      </w:r>
      <w:r w:rsidRPr="00531BD3">
        <w:rPr>
          <w:rFonts w:hint="eastAsia"/>
          <w:rtl/>
        </w:rPr>
        <w:t>עניינים</w:t>
      </w:r>
      <w:r w:rsidRPr="00531BD3">
        <w:rPr>
          <w:rtl/>
        </w:rPr>
        <w:t xml:space="preserve">, </w:t>
      </w:r>
      <w:r w:rsidRPr="00531BD3">
        <w:rPr>
          <w:rFonts w:hint="eastAsia"/>
          <w:rtl/>
        </w:rPr>
        <w:t>במקרים</w:t>
      </w:r>
      <w:r w:rsidRPr="00531BD3">
        <w:rPr>
          <w:rtl/>
        </w:rPr>
        <w:t xml:space="preserve"> </w:t>
      </w:r>
      <w:r w:rsidRPr="00531BD3">
        <w:rPr>
          <w:rFonts w:hint="eastAsia"/>
          <w:rtl/>
        </w:rPr>
        <w:t>המתאימים</w:t>
      </w:r>
      <w:r w:rsidRPr="00531BD3">
        <w:rPr>
          <w:rtl/>
        </w:rPr>
        <w:t xml:space="preserve">, </w:t>
      </w:r>
      <w:r w:rsidRPr="00531BD3">
        <w:rPr>
          <w:rFonts w:hint="eastAsia"/>
          <w:rtl/>
        </w:rPr>
        <w:t>בהתייחס</w:t>
      </w:r>
      <w:r w:rsidRPr="00531BD3">
        <w:rPr>
          <w:rtl/>
        </w:rPr>
        <w:t xml:space="preserve"> </w:t>
      </w:r>
      <w:r w:rsidRPr="00531BD3">
        <w:rPr>
          <w:rFonts w:hint="eastAsia"/>
          <w:rtl/>
        </w:rPr>
        <w:t>בין</w:t>
      </w:r>
      <w:r w:rsidRPr="00531BD3">
        <w:rPr>
          <w:rtl/>
        </w:rPr>
        <w:t xml:space="preserve"> </w:t>
      </w:r>
      <w:r w:rsidRPr="00531BD3">
        <w:rPr>
          <w:rFonts w:hint="eastAsia"/>
          <w:rtl/>
        </w:rPr>
        <w:t>היתר</w:t>
      </w:r>
      <w:r w:rsidRPr="00531BD3">
        <w:rPr>
          <w:rtl/>
        </w:rPr>
        <w:t xml:space="preserve"> </w:t>
      </w:r>
      <w:r w:rsidRPr="00531BD3">
        <w:rPr>
          <w:rFonts w:hint="eastAsia"/>
          <w:rtl/>
        </w:rPr>
        <w:t>לחובותיו</w:t>
      </w:r>
      <w:r w:rsidRPr="00531BD3">
        <w:rPr>
          <w:rtl/>
        </w:rPr>
        <w:t xml:space="preserve"> </w:t>
      </w:r>
      <w:r w:rsidRPr="00531BD3">
        <w:rPr>
          <w:rFonts w:hint="eastAsia"/>
          <w:rtl/>
        </w:rPr>
        <w:t>האזרחיות</w:t>
      </w:r>
      <w:r w:rsidRPr="00531BD3">
        <w:rPr>
          <w:rtl/>
        </w:rPr>
        <w:t xml:space="preserve"> </w:t>
      </w:r>
      <w:r w:rsidRPr="00531BD3">
        <w:rPr>
          <w:rFonts w:hint="eastAsia"/>
          <w:rtl/>
        </w:rPr>
        <w:t>של</w:t>
      </w:r>
      <w:r w:rsidRPr="00531BD3">
        <w:rPr>
          <w:rtl/>
        </w:rPr>
        <w:t xml:space="preserve"> </w:t>
      </w:r>
      <w:r w:rsidRPr="00531BD3">
        <w:rPr>
          <w:rFonts w:hint="eastAsia"/>
          <w:rtl/>
        </w:rPr>
        <w:t>נושא</w:t>
      </w:r>
      <w:r w:rsidRPr="00531BD3">
        <w:rPr>
          <w:rtl/>
        </w:rPr>
        <w:t xml:space="preserve"> </w:t>
      </w:r>
      <w:r w:rsidRPr="00531BD3">
        <w:rPr>
          <w:rFonts w:hint="eastAsia"/>
          <w:rtl/>
        </w:rPr>
        <w:t>משרה</w:t>
      </w:r>
      <w:r w:rsidRPr="00531BD3">
        <w:rPr>
          <w:rtl/>
        </w:rPr>
        <w:t xml:space="preserve"> (</w:t>
      </w:r>
      <w:r w:rsidRPr="00531BD3">
        <w:rPr>
          <w:rFonts w:hint="eastAsia"/>
          <w:rtl/>
        </w:rPr>
        <w:t>או</w:t>
      </w:r>
      <w:r w:rsidRPr="00531BD3">
        <w:rPr>
          <w:rtl/>
        </w:rPr>
        <w:t xml:space="preserve"> </w:t>
      </w:r>
      <w:r w:rsidRPr="00531BD3">
        <w:rPr>
          <w:rFonts w:hint="eastAsia"/>
          <w:rtl/>
        </w:rPr>
        <w:t>בעל</w:t>
      </w:r>
      <w:r w:rsidRPr="00531BD3">
        <w:rPr>
          <w:rtl/>
        </w:rPr>
        <w:t xml:space="preserve"> </w:t>
      </w:r>
      <w:r w:rsidRPr="00531BD3">
        <w:rPr>
          <w:rFonts w:hint="eastAsia"/>
          <w:rtl/>
        </w:rPr>
        <w:t>עניין</w:t>
      </w:r>
      <w:r w:rsidRPr="00531BD3">
        <w:rPr>
          <w:rtl/>
        </w:rPr>
        <w:t xml:space="preserve"> </w:t>
      </w:r>
      <w:r w:rsidRPr="00531BD3">
        <w:rPr>
          <w:rFonts w:hint="eastAsia"/>
          <w:rtl/>
        </w:rPr>
        <w:t>אחר</w:t>
      </w:r>
      <w:r w:rsidRPr="00531BD3">
        <w:rPr>
          <w:rtl/>
        </w:rPr>
        <w:t xml:space="preserve">) </w:t>
      </w:r>
      <w:r w:rsidRPr="00531BD3">
        <w:rPr>
          <w:rFonts w:hint="eastAsia"/>
          <w:rtl/>
        </w:rPr>
        <w:t>לחברה</w:t>
      </w:r>
      <w:r w:rsidRPr="00531BD3">
        <w:rPr>
          <w:rtl/>
        </w:rPr>
        <w:t xml:space="preserve">, </w:t>
      </w:r>
      <w:r w:rsidRPr="00531BD3">
        <w:rPr>
          <w:rFonts w:hint="eastAsia"/>
          <w:rtl/>
        </w:rPr>
        <w:t>ובהתחשב</w:t>
      </w:r>
      <w:r w:rsidRPr="00531BD3">
        <w:rPr>
          <w:rtl/>
        </w:rPr>
        <w:t xml:space="preserve"> </w:t>
      </w:r>
      <w:r w:rsidRPr="00531BD3">
        <w:rPr>
          <w:rFonts w:hint="eastAsia"/>
          <w:rtl/>
        </w:rPr>
        <w:t>בנסיבות</w:t>
      </w:r>
      <w:r w:rsidRPr="00531BD3">
        <w:rPr>
          <w:rtl/>
        </w:rPr>
        <w:t xml:space="preserve"> </w:t>
      </w:r>
      <w:r w:rsidRPr="00531BD3">
        <w:rPr>
          <w:rFonts w:hint="eastAsia"/>
          <w:rtl/>
        </w:rPr>
        <w:t>כל</w:t>
      </w:r>
      <w:r w:rsidRPr="00531BD3">
        <w:rPr>
          <w:rtl/>
        </w:rPr>
        <w:t xml:space="preserve"> </w:t>
      </w:r>
      <w:r w:rsidRPr="00531BD3">
        <w:rPr>
          <w:rFonts w:hint="eastAsia"/>
          <w:rtl/>
        </w:rPr>
        <w:t>מקרה</w:t>
      </w:r>
      <w:r w:rsidRPr="00531BD3">
        <w:rPr>
          <w:rtl/>
        </w:rPr>
        <w:t xml:space="preserve"> </w:t>
      </w:r>
      <w:r w:rsidRPr="00531BD3">
        <w:rPr>
          <w:rFonts w:hint="eastAsia"/>
          <w:rtl/>
        </w:rPr>
        <w:t>ומקרה</w:t>
      </w:r>
      <w:r w:rsidRPr="00531BD3">
        <w:rPr>
          <w:rtl/>
        </w:rPr>
        <w:t xml:space="preserve">. </w:t>
      </w:r>
    </w:p>
    <w:p w:rsidR="008A4DD4" w:rsidRPr="00531BD3" w:rsidRDefault="008A4DD4" w:rsidP="008A4DD4">
      <w:pPr>
        <w:pStyle w:val="Ruller41"/>
        <w:rPr>
          <w:rtl/>
        </w:rPr>
      </w:pPr>
    </w:p>
    <w:p w:rsidR="008A4DD4" w:rsidRPr="00531BD3" w:rsidRDefault="008A4DD4" w:rsidP="008A4DD4">
      <w:pPr>
        <w:pStyle w:val="Ruller4"/>
        <w:rPr>
          <w:rtl/>
        </w:rPr>
      </w:pPr>
      <w:r w:rsidRPr="00531BD3">
        <w:rPr>
          <w:rFonts w:hint="eastAsia"/>
          <w:rtl/>
        </w:rPr>
        <w:t>בעניין</w:t>
      </w:r>
      <w:r w:rsidRPr="00531BD3">
        <w:rPr>
          <w:rtl/>
        </w:rPr>
        <w:t xml:space="preserve"> </w:t>
      </w:r>
      <w:proofErr w:type="spellStart"/>
      <w:r w:rsidRPr="00531BD3">
        <w:rPr>
          <w:rFonts w:ascii="Century" w:hAnsi="Century" w:cs="Miriam" w:hint="eastAsia"/>
          <w:b/>
          <w:spacing w:val="0"/>
          <w:sz w:val="22"/>
          <w:szCs w:val="24"/>
          <w:rtl/>
        </w:rPr>
        <w:t>טטרו</w:t>
      </w:r>
      <w:proofErr w:type="spellEnd"/>
      <w:r w:rsidRPr="00531BD3">
        <w:rPr>
          <w:rtl/>
        </w:rPr>
        <w:t xml:space="preserve"> </w:t>
      </w:r>
      <w:r w:rsidRPr="00531BD3">
        <w:rPr>
          <w:rFonts w:hint="eastAsia"/>
          <w:rtl/>
        </w:rPr>
        <w:t>עמדתי</w:t>
      </w:r>
      <w:r w:rsidRPr="00531BD3">
        <w:rPr>
          <w:rtl/>
        </w:rPr>
        <w:t xml:space="preserve"> </w:t>
      </w:r>
      <w:r w:rsidRPr="00531BD3">
        <w:rPr>
          <w:rFonts w:hint="eastAsia"/>
          <w:rtl/>
        </w:rPr>
        <w:t>על</w:t>
      </w:r>
      <w:r w:rsidRPr="00531BD3">
        <w:rPr>
          <w:rtl/>
        </w:rPr>
        <w:t xml:space="preserve"> </w:t>
      </w:r>
      <w:r w:rsidRPr="00531BD3">
        <w:rPr>
          <w:rFonts w:hint="eastAsia"/>
          <w:rtl/>
        </w:rPr>
        <w:t>טווח</w:t>
      </w:r>
      <w:r w:rsidRPr="00531BD3">
        <w:rPr>
          <w:rtl/>
        </w:rPr>
        <w:t xml:space="preserve"> </w:t>
      </w:r>
      <w:r w:rsidRPr="00531BD3">
        <w:rPr>
          <w:rFonts w:hint="eastAsia"/>
          <w:rtl/>
        </w:rPr>
        <w:t>השיקולים</w:t>
      </w:r>
      <w:r w:rsidRPr="00531BD3">
        <w:rPr>
          <w:rtl/>
        </w:rPr>
        <w:t xml:space="preserve"> </w:t>
      </w:r>
      <w:r w:rsidRPr="00531BD3">
        <w:rPr>
          <w:rFonts w:hint="eastAsia"/>
          <w:rtl/>
        </w:rPr>
        <w:t>הרלוונטיים</w:t>
      </w:r>
      <w:r w:rsidRPr="00531BD3">
        <w:rPr>
          <w:rtl/>
        </w:rPr>
        <w:t xml:space="preserve"> </w:t>
      </w:r>
      <w:r w:rsidRPr="00531BD3">
        <w:rPr>
          <w:rFonts w:hint="eastAsia"/>
          <w:rtl/>
        </w:rPr>
        <w:t>לבחינת</w:t>
      </w:r>
      <w:r w:rsidRPr="00531BD3">
        <w:rPr>
          <w:rtl/>
        </w:rPr>
        <w:t xml:space="preserve"> </w:t>
      </w:r>
      <w:r w:rsidRPr="00531BD3">
        <w:rPr>
          <w:rFonts w:hint="eastAsia"/>
          <w:rtl/>
        </w:rPr>
        <w:t>השאלה</w:t>
      </w:r>
      <w:r w:rsidRPr="00531BD3">
        <w:rPr>
          <w:rtl/>
        </w:rPr>
        <w:t xml:space="preserve"> </w:t>
      </w:r>
      <w:r w:rsidRPr="00531BD3">
        <w:rPr>
          <w:rFonts w:hint="eastAsia"/>
          <w:rtl/>
        </w:rPr>
        <w:t>האם</w:t>
      </w:r>
      <w:r w:rsidRPr="00531BD3">
        <w:rPr>
          <w:rtl/>
        </w:rPr>
        <w:t xml:space="preserve"> </w:t>
      </w:r>
      <w:r w:rsidRPr="00531BD3">
        <w:rPr>
          <w:rFonts w:hint="eastAsia"/>
          <w:rtl/>
        </w:rPr>
        <w:t>מדובר</w:t>
      </w:r>
      <w:r w:rsidRPr="00531BD3">
        <w:rPr>
          <w:rtl/>
        </w:rPr>
        <w:t xml:space="preserve"> </w:t>
      </w:r>
      <w:r w:rsidRPr="00531BD3">
        <w:rPr>
          <w:rFonts w:hint="eastAsia"/>
          <w:rtl/>
        </w:rPr>
        <w:t>במעשה</w:t>
      </w:r>
      <w:r w:rsidRPr="00531BD3">
        <w:rPr>
          <w:rtl/>
        </w:rPr>
        <w:t xml:space="preserve"> </w:t>
      </w:r>
      <w:r w:rsidRPr="00531BD3">
        <w:rPr>
          <w:rFonts w:hint="eastAsia"/>
          <w:rtl/>
        </w:rPr>
        <w:t>הפוגע</w:t>
      </w:r>
      <w:r w:rsidRPr="00531BD3">
        <w:rPr>
          <w:rtl/>
        </w:rPr>
        <w:t xml:space="preserve"> </w:t>
      </w:r>
      <w:r w:rsidRPr="00531BD3">
        <w:rPr>
          <w:rFonts w:hint="eastAsia"/>
          <w:rtl/>
        </w:rPr>
        <w:t>פגיעה</w:t>
      </w:r>
      <w:r w:rsidRPr="00531BD3">
        <w:rPr>
          <w:rtl/>
        </w:rPr>
        <w:t xml:space="preserve"> </w:t>
      </w:r>
      <w:r w:rsidRPr="00531BD3">
        <w:rPr>
          <w:rFonts w:hint="eastAsia"/>
          <w:rtl/>
        </w:rPr>
        <w:t>ממשית</w:t>
      </w:r>
      <w:r w:rsidRPr="00531BD3">
        <w:rPr>
          <w:rtl/>
        </w:rPr>
        <w:t xml:space="preserve"> </w:t>
      </w:r>
      <w:r w:rsidRPr="00531BD3">
        <w:rPr>
          <w:rFonts w:hint="eastAsia"/>
          <w:rtl/>
        </w:rPr>
        <w:t>בערכים</w:t>
      </w:r>
      <w:r w:rsidRPr="00531BD3">
        <w:rPr>
          <w:rtl/>
        </w:rPr>
        <w:t xml:space="preserve"> </w:t>
      </w:r>
      <w:r w:rsidRPr="00531BD3">
        <w:rPr>
          <w:rFonts w:hint="eastAsia"/>
          <w:rtl/>
        </w:rPr>
        <w:t>המוגנים</w:t>
      </w:r>
      <w:r w:rsidRPr="00531BD3">
        <w:rPr>
          <w:rtl/>
        </w:rPr>
        <w:t xml:space="preserve"> </w:t>
      </w:r>
      <w:r w:rsidRPr="00531BD3">
        <w:rPr>
          <w:rFonts w:hint="eastAsia"/>
          <w:rtl/>
        </w:rPr>
        <w:t>של</w:t>
      </w:r>
      <w:r w:rsidRPr="00531BD3">
        <w:rPr>
          <w:rtl/>
        </w:rPr>
        <w:t xml:space="preserve"> </w:t>
      </w:r>
      <w:r w:rsidRPr="00531BD3">
        <w:rPr>
          <w:rFonts w:hint="eastAsia"/>
          <w:rtl/>
        </w:rPr>
        <w:t>העבירה</w:t>
      </w:r>
      <w:r w:rsidRPr="00531BD3">
        <w:rPr>
          <w:rtl/>
        </w:rPr>
        <w:t xml:space="preserve"> </w:t>
      </w:r>
      <w:r w:rsidRPr="00531BD3">
        <w:rPr>
          <w:rFonts w:hint="eastAsia"/>
          <w:rtl/>
        </w:rPr>
        <w:t>ובכך</w:t>
      </w:r>
      <w:r w:rsidRPr="00531BD3">
        <w:rPr>
          <w:rtl/>
        </w:rPr>
        <w:t xml:space="preserve"> </w:t>
      </w:r>
      <w:r w:rsidRPr="00531BD3">
        <w:rPr>
          <w:rFonts w:hint="eastAsia"/>
          <w:rtl/>
        </w:rPr>
        <w:t>גם</w:t>
      </w:r>
      <w:r w:rsidRPr="00531BD3">
        <w:rPr>
          <w:rtl/>
        </w:rPr>
        <w:t xml:space="preserve"> </w:t>
      </w:r>
      <w:r w:rsidRPr="00531BD3">
        <w:rPr>
          <w:rFonts w:hint="eastAsia"/>
          <w:rtl/>
        </w:rPr>
        <w:t>קיים</w:t>
      </w:r>
      <w:r w:rsidRPr="00531BD3">
        <w:rPr>
          <w:rtl/>
        </w:rPr>
        <w:t xml:space="preserve"> </w:t>
      </w:r>
      <w:r w:rsidRPr="00531BD3">
        <w:rPr>
          <w:rFonts w:hint="eastAsia"/>
          <w:rtl/>
        </w:rPr>
        <w:t>פן</w:t>
      </w:r>
      <w:r w:rsidRPr="00531BD3">
        <w:rPr>
          <w:rtl/>
        </w:rPr>
        <w:t xml:space="preserve"> </w:t>
      </w:r>
      <w:r w:rsidRPr="00531BD3">
        <w:rPr>
          <w:rFonts w:hint="eastAsia"/>
          <w:rtl/>
        </w:rPr>
        <w:t>מחמיר</w:t>
      </w:r>
      <w:r w:rsidRPr="00531BD3">
        <w:rPr>
          <w:rtl/>
        </w:rPr>
        <w:t xml:space="preserve"> </w:t>
      </w:r>
      <w:r w:rsidRPr="00531BD3">
        <w:rPr>
          <w:rFonts w:hint="eastAsia"/>
          <w:rtl/>
        </w:rPr>
        <w:t>באופן</w:t>
      </w:r>
      <w:r w:rsidRPr="00531BD3">
        <w:rPr>
          <w:rtl/>
        </w:rPr>
        <w:t xml:space="preserve"> </w:t>
      </w:r>
      <w:r w:rsidRPr="00531BD3">
        <w:rPr>
          <w:rFonts w:hint="eastAsia"/>
          <w:rtl/>
        </w:rPr>
        <w:t>המצדיק</w:t>
      </w:r>
      <w:r w:rsidRPr="00531BD3">
        <w:rPr>
          <w:rtl/>
        </w:rPr>
        <w:t xml:space="preserve"> </w:t>
      </w:r>
      <w:r w:rsidRPr="00531BD3">
        <w:rPr>
          <w:rFonts w:hint="eastAsia"/>
          <w:rtl/>
        </w:rPr>
        <w:t>הטלת</w:t>
      </w:r>
      <w:r w:rsidRPr="00531BD3">
        <w:rPr>
          <w:rtl/>
        </w:rPr>
        <w:t xml:space="preserve"> </w:t>
      </w:r>
      <w:r w:rsidRPr="00531BD3">
        <w:rPr>
          <w:rFonts w:hint="eastAsia"/>
          <w:rtl/>
        </w:rPr>
        <w:t>אחריות</w:t>
      </w:r>
      <w:r w:rsidRPr="00531BD3">
        <w:rPr>
          <w:rtl/>
        </w:rPr>
        <w:t xml:space="preserve"> </w:t>
      </w:r>
      <w:r w:rsidRPr="00531BD3">
        <w:rPr>
          <w:rFonts w:hint="eastAsia"/>
          <w:rtl/>
        </w:rPr>
        <w:t>פלילית</w:t>
      </w:r>
      <w:r w:rsidRPr="00531BD3">
        <w:rPr>
          <w:rtl/>
        </w:rPr>
        <w:t xml:space="preserve">, </w:t>
      </w:r>
      <w:r w:rsidRPr="00531BD3">
        <w:rPr>
          <w:rFonts w:hint="eastAsia"/>
          <w:rtl/>
        </w:rPr>
        <w:t>תוך</w:t>
      </w:r>
      <w:r w:rsidRPr="00531BD3">
        <w:rPr>
          <w:rtl/>
        </w:rPr>
        <w:t xml:space="preserve"> </w:t>
      </w:r>
      <w:r w:rsidRPr="00531BD3">
        <w:rPr>
          <w:rFonts w:hint="eastAsia"/>
          <w:rtl/>
        </w:rPr>
        <w:t>שציינתי</w:t>
      </w:r>
      <w:r w:rsidRPr="00531BD3">
        <w:rPr>
          <w:rtl/>
        </w:rPr>
        <w:t xml:space="preserve"> </w:t>
      </w:r>
      <w:r w:rsidRPr="00531BD3">
        <w:rPr>
          <w:rFonts w:hint="eastAsia"/>
          <w:rtl/>
        </w:rPr>
        <w:t>כי</w:t>
      </w:r>
      <w:r w:rsidRPr="00531BD3">
        <w:rPr>
          <w:rtl/>
        </w:rPr>
        <w:t xml:space="preserve"> </w:t>
      </w:r>
      <w:r w:rsidRPr="00531BD3">
        <w:rPr>
          <w:rFonts w:hint="eastAsia"/>
          <w:rtl/>
        </w:rPr>
        <w:t>אין</w:t>
      </w:r>
      <w:r w:rsidRPr="00531BD3">
        <w:rPr>
          <w:rtl/>
        </w:rPr>
        <w:t xml:space="preserve"> </w:t>
      </w:r>
      <w:r w:rsidRPr="00531BD3">
        <w:rPr>
          <w:rFonts w:hint="eastAsia"/>
          <w:rtl/>
        </w:rPr>
        <w:t>מדובר</w:t>
      </w:r>
      <w:r w:rsidRPr="00531BD3">
        <w:rPr>
          <w:rtl/>
        </w:rPr>
        <w:t xml:space="preserve"> </w:t>
      </w:r>
      <w:r w:rsidRPr="00531BD3">
        <w:rPr>
          <w:rFonts w:hint="eastAsia"/>
          <w:rtl/>
        </w:rPr>
        <w:t>ברשימה</w:t>
      </w:r>
      <w:r w:rsidRPr="00531BD3">
        <w:rPr>
          <w:rtl/>
        </w:rPr>
        <w:t xml:space="preserve"> </w:t>
      </w:r>
      <w:r w:rsidRPr="00531BD3">
        <w:rPr>
          <w:rFonts w:hint="eastAsia"/>
          <w:rtl/>
        </w:rPr>
        <w:t>סגורה</w:t>
      </w:r>
      <w:r w:rsidRPr="00531BD3">
        <w:rPr>
          <w:rtl/>
        </w:rPr>
        <w:t xml:space="preserve"> (</w:t>
      </w:r>
      <w:r w:rsidRPr="00531BD3">
        <w:rPr>
          <w:rFonts w:hint="eastAsia"/>
          <w:rtl/>
        </w:rPr>
        <w:t>שם</w:t>
      </w:r>
      <w:r w:rsidRPr="00531BD3">
        <w:rPr>
          <w:rtl/>
        </w:rPr>
        <w:t xml:space="preserve">, </w:t>
      </w:r>
      <w:r w:rsidRPr="00531BD3">
        <w:rPr>
          <w:rFonts w:hint="eastAsia"/>
          <w:rtl/>
        </w:rPr>
        <w:t>פסקה</w:t>
      </w:r>
      <w:r w:rsidRPr="00531BD3">
        <w:rPr>
          <w:rtl/>
        </w:rPr>
        <w:t xml:space="preserve"> 34). </w:t>
      </w:r>
      <w:r w:rsidRPr="00531BD3">
        <w:rPr>
          <w:rFonts w:hint="eastAsia"/>
          <w:rtl/>
        </w:rPr>
        <w:t>על</w:t>
      </w:r>
      <w:r w:rsidRPr="00531BD3">
        <w:rPr>
          <w:rtl/>
        </w:rPr>
        <w:t xml:space="preserve"> </w:t>
      </w:r>
      <w:r w:rsidRPr="00531BD3">
        <w:rPr>
          <w:rFonts w:hint="eastAsia"/>
          <w:rtl/>
        </w:rPr>
        <w:t>שיקולים</w:t>
      </w:r>
      <w:r w:rsidRPr="00531BD3">
        <w:rPr>
          <w:rtl/>
        </w:rPr>
        <w:t xml:space="preserve"> </w:t>
      </w:r>
      <w:r w:rsidRPr="00531BD3">
        <w:rPr>
          <w:rFonts w:hint="eastAsia"/>
          <w:rtl/>
        </w:rPr>
        <w:t>אלה</w:t>
      </w:r>
      <w:r w:rsidRPr="00531BD3">
        <w:rPr>
          <w:rtl/>
        </w:rPr>
        <w:t xml:space="preserve"> </w:t>
      </w:r>
      <w:r w:rsidRPr="00531BD3">
        <w:rPr>
          <w:rFonts w:hint="eastAsia"/>
          <w:rtl/>
        </w:rPr>
        <w:t>נמנים</w:t>
      </w:r>
      <w:r w:rsidRPr="00531BD3">
        <w:rPr>
          <w:rtl/>
        </w:rPr>
        <w:t xml:space="preserve">:  </w:t>
      </w:r>
    </w:p>
    <w:p w:rsidR="008A4DD4" w:rsidRPr="00531BD3" w:rsidRDefault="008A4DD4" w:rsidP="008A4DD4">
      <w:pPr>
        <w:pStyle w:val="Ruller41"/>
        <w:rPr>
          <w:rtl/>
        </w:rPr>
      </w:pPr>
    </w:p>
    <w:p w:rsidR="008A4DD4" w:rsidRPr="00531BD3" w:rsidRDefault="008A4DD4" w:rsidP="008A4DD4">
      <w:pPr>
        <w:pStyle w:val="Ruller4"/>
        <w:numPr>
          <w:ilvl w:val="0"/>
          <w:numId w:val="0"/>
        </w:numPr>
        <w:ind w:left="800" w:hanging="800"/>
        <w:rPr>
          <w:rtl/>
        </w:rPr>
      </w:pPr>
      <w:r w:rsidRPr="00531BD3">
        <w:rPr>
          <w:rtl/>
        </w:rPr>
        <w:tab/>
      </w:r>
      <w:r w:rsidRPr="00531BD3">
        <w:rPr>
          <w:rFonts w:hint="cs"/>
          <w:rtl/>
        </w:rPr>
        <w:t xml:space="preserve">(א) </w:t>
      </w:r>
      <w:r w:rsidRPr="00531BD3">
        <w:rPr>
          <w:rFonts w:hint="eastAsia"/>
          <w:rtl/>
        </w:rPr>
        <w:t>הנזק</w:t>
      </w:r>
      <w:r w:rsidRPr="00531BD3">
        <w:rPr>
          <w:rtl/>
        </w:rPr>
        <w:t xml:space="preserve"> </w:t>
      </w:r>
      <w:r w:rsidRPr="00531BD3">
        <w:rPr>
          <w:rFonts w:hint="eastAsia"/>
          <w:rtl/>
        </w:rPr>
        <w:t>שנגרם</w:t>
      </w:r>
      <w:r w:rsidRPr="00531BD3">
        <w:rPr>
          <w:rtl/>
        </w:rPr>
        <w:t xml:space="preserve"> </w:t>
      </w:r>
      <w:r w:rsidRPr="00531BD3">
        <w:rPr>
          <w:rFonts w:hint="eastAsia"/>
          <w:rtl/>
        </w:rPr>
        <w:t>או</w:t>
      </w:r>
      <w:r w:rsidRPr="00531BD3">
        <w:rPr>
          <w:rtl/>
        </w:rPr>
        <w:t xml:space="preserve"> </w:t>
      </w:r>
      <w:r w:rsidRPr="00531BD3">
        <w:rPr>
          <w:rFonts w:hint="eastAsia"/>
          <w:rtl/>
        </w:rPr>
        <w:t>שעלול</w:t>
      </w:r>
      <w:r w:rsidRPr="00531BD3">
        <w:rPr>
          <w:rtl/>
        </w:rPr>
        <w:t xml:space="preserve"> </w:t>
      </w:r>
      <w:r w:rsidRPr="00531BD3">
        <w:rPr>
          <w:rFonts w:hint="eastAsia"/>
          <w:rtl/>
        </w:rPr>
        <w:t>להיגרם</w:t>
      </w:r>
      <w:r w:rsidRPr="00531BD3">
        <w:rPr>
          <w:rtl/>
        </w:rPr>
        <w:t xml:space="preserve"> </w:t>
      </w:r>
      <w:r w:rsidRPr="00531BD3">
        <w:rPr>
          <w:rFonts w:hint="eastAsia"/>
          <w:rtl/>
        </w:rPr>
        <w:t>לתאגיד</w:t>
      </w:r>
      <w:r w:rsidRPr="00531BD3">
        <w:rPr>
          <w:rtl/>
        </w:rPr>
        <w:t xml:space="preserve"> </w:t>
      </w:r>
      <w:r w:rsidRPr="00531BD3">
        <w:rPr>
          <w:rFonts w:hint="eastAsia"/>
          <w:rtl/>
        </w:rPr>
        <w:t>ובאמון</w:t>
      </w:r>
      <w:r w:rsidRPr="00531BD3">
        <w:rPr>
          <w:rtl/>
        </w:rPr>
        <w:t xml:space="preserve"> </w:t>
      </w:r>
      <w:r w:rsidRPr="00531BD3">
        <w:rPr>
          <w:rFonts w:hint="eastAsia"/>
          <w:rtl/>
        </w:rPr>
        <w:t>הציבור</w:t>
      </w:r>
      <w:r w:rsidRPr="00531BD3">
        <w:rPr>
          <w:rtl/>
        </w:rPr>
        <w:t xml:space="preserve"> </w:t>
      </w:r>
      <w:r w:rsidRPr="00531BD3">
        <w:rPr>
          <w:rFonts w:hint="eastAsia"/>
          <w:rtl/>
        </w:rPr>
        <w:t>בו</w:t>
      </w:r>
      <w:r w:rsidRPr="00531BD3">
        <w:rPr>
          <w:rtl/>
        </w:rPr>
        <w:t xml:space="preserve"> – </w:t>
      </w:r>
      <w:r w:rsidRPr="00531BD3">
        <w:rPr>
          <w:rFonts w:hint="eastAsia"/>
          <w:rtl/>
        </w:rPr>
        <w:t>בהתחשב</w:t>
      </w:r>
      <w:r w:rsidRPr="00531BD3">
        <w:rPr>
          <w:rtl/>
        </w:rPr>
        <w:t xml:space="preserve"> </w:t>
      </w:r>
      <w:r w:rsidRPr="00531BD3">
        <w:rPr>
          <w:rFonts w:hint="eastAsia"/>
          <w:rtl/>
        </w:rPr>
        <w:t>בין</w:t>
      </w:r>
      <w:r w:rsidRPr="00531BD3">
        <w:rPr>
          <w:rtl/>
        </w:rPr>
        <w:t xml:space="preserve"> </w:t>
      </w:r>
      <w:r w:rsidRPr="00531BD3">
        <w:rPr>
          <w:rFonts w:hint="eastAsia"/>
          <w:rtl/>
        </w:rPr>
        <w:t>היתר</w:t>
      </w:r>
      <w:r w:rsidRPr="00531BD3">
        <w:rPr>
          <w:rtl/>
        </w:rPr>
        <w:t xml:space="preserve"> </w:t>
      </w:r>
      <w:r w:rsidRPr="00531BD3">
        <w:rPr>
          <w:rFonts w:hint="eastAsia"/>
          <w:rtl/>
        </w:rPr>
        <w:t>בהדים</w:t>
      </w:r>
      <w:r w:rsidRPr="00531BD3">
        <w:rPr>
          <w:rtl/>
        </w:rPr>
        <w:t xml:space="preserve"> </w:t>
      </w:r>
      <w:r w:rsidRPr="00531BD3">
        <w:rPr>
          <w:rFonts w:hint="eastAsia"/>
          <w:rtl/>
        </w:rPr>
        <w:t>שיכולים</w:t>
      </w:r>
      <w:r w:rsidRPr="00531BD3">
        <w:rPr>
          <w:rtl/>
        </w:rPr>
        <w:t xml:space="preserve"> </w:t>
      </w:r>
      <w:r w:rsidRPr="00531BD3">
        <w:rPr>
          <w:rFonts w:hint="eastAsia"/>
          <w:rtl/>
        </w:rPr>
        <w:t>להיות</w:t>
      </w:r>
      <w:r w:rsidRPr="00531BD3">
        <w:rPr>
          <w:rtl/>
        </w:rPr>
        <w:t xml:space="preserve"> </w:t>
      </w:r>
      <w:r w:rsidRPr="00531BD3">
        <w:rPr>
          <w:rFonts w:hint="eastAsia"/>
          <w:rtl/>
        </w:rPr>
        <w:t>למעשה</w:t>
      </w:r>
      <w:r w:rsidRPr="00531BD3">
        <w:rPr>
          <w:rtl/>
        </w:rPr>
        <w:t xml:space="preserve">, </w:t>
      </w:r>
      <w:r w:rsidRPr="00531BD3">
        <w:rPr>
          <w:rFonts w:hint="eastAsia"/>
          <w:rtl/>
        </w:rPr>
        <w:t>ואת</w:t>
      </w:r>
      <w:r w:rsidRPr="00531BD3">
        <w:rPr>
          <w:rtl/>
        </w:rPr>
        <w:t xml:space="preserve"> </w:t>
      </w:r>
      <w:r w:rsidRPr="00531BD3">
        <w:rPr>
          <w:rFonts w:hint="eastAsia"/>
          <w:rtl/>
        </w:rPr>
        <w:t>האופן</w:t>
      </w:r>
      <w:r w:rsidRPr="00531BD3">
        <w:rPr>
          <w:rtl/>
        </w:rPr>
        <w:t xml:space="preserve"> </w:t>
      </w:r>
      <w:r w:rsidRPr="00531BD3">
        <w:rPr>
          <w:rFonts w:hint="eastAsia"/>
          <w:rtl/>
        </w:rPr>
        <w:t>שבו</w:t>
      </w:r>
      <w:r w:rsidRPr="00531BD3">
        <w:rPr>
          <w:rtl/>
        </w:rPr>
        <w:t xml:space="preserve"> </w:t>
      </w:r>
      <w:r w:rsidRPr="00531BD3">
        <w:rPr>
          <w:rFonts w:hint="eastAsia"/>
          <w:rtl/>
        </w:rPr>
        <w:t>הוא</w:t>
      </w:r>
      <w:r w:rsidRPr="00531BD3">
        <w:rPr>
          <w:rtl/>
        </w:rPr>
        <w:t xml:space="preserve"> </w:t>
      </w:r>
      <w:r w:rsidRPr="00531BD3">
        <w:rPr>
          <w:rFonts w:hint="eastAsia"/>
          <w:rtl/>
        </w:rPr>
        <w:t>עלול</w:t>
      </w:r>
      <w:r w:rsidRPr="00531BD3">
        <w:rPr>
          <w:rtl/>
        </w:rPr>
        <w:t xml:space="preserve"> </w:t>
      </w:r>
      <w:r w:rsidRPr="00531BD3">
        <w:rPr>
          <w:rFonts w:hint="eastAsia"/>
          <w:rtl/>
        </w:rPr>
        <w:t>להיתפס</w:t>
      </w:r>
      <w:r w:rsidRPr="00531BD3">
        <w:rPr>
          <w:rtl/>
        </w:rPr>
        <w:t xml:space="preserve"> </w:t>
      </w:r>
      <w:r w:rsidRPr="00531BD3">
        <w:rPr>
          <w:rFonts w:hint="eastAsia"/>
          <w:rtl/>
        </w:rPr>
        <w:t>בעיני</w:t>
      </w:r>
      <w:r w:rsidRPr="00531BD3">
        <w:rPr>
          <w:rtl/>
        </w:rPr>
        <w:t xml:space="preserve"> </w:t>
      </w:r>
      <w:r w:rsidRPr="00531BD3">
        <w:rPr>
          <w:rFonts w:hint="eastAsia"/>
          <w:rtl/>
        </w:rPr>
        <w:t>הציבור</w:t>
      </w:r>
      <w:r w:rsidRPr="00531BD3">
        <w:rPr>
          <w:rtl/>
        </w:rPr>
        <w:t xml:space="preserve"> </w:t>
      </w:r>
      <w:r w:rsidRPr="00531BD3">
        <w:rPr>
          <w:rFonts w:hint="eastAsia"/>
          <w:rtl/>
        </w:rPr>
        <w:t>ובעיני</w:t>
      </w:r>
      <w:r w:rsidRPr="00531BD3">
        <w:rPr>
          <w:rtl/>
        </w:rPr>
        <w:t xml:space="preserve"> </w:t>
      </w:r>
      <w:r w:rsidRPr="00531BD3">
        <w:rPr>
          <w:rFonts w:hint="eastAsia"/>
          <w:rtl/>
        </w:rPr>
        <w:t>ציבור</w:t>
      </w:r>
      <w:r w:rsidRPr="00531BD3">
        <w:rPr>
          <w:rtl/>
        </w:rPr>
        <w:t xml:space="preserve"> </w:t>
      </w:r>
      <w:r w:rsidRPr="00531BD3">
        <w:rPr>
          <w:rFonts w:hint="eastAsia"/>
          <w:rtl/>
        </w:rPr>
        <w:t>המשקיעים</w:t>
      </w:r>
      <w:r w:rsidRPr="00531BD3">
        <w:rPr>
          <w:rtl/>
        </w:rPr>
        <w:t xml:space="preserve">, </w:t>
      </w:r>
      <w:r w:rsidRPr="00531BD3">
        <w:rPr>
          <w:rFonts w:hint="eastAsia"/>
          <w:rtl/>
        </w:rPr>
        <w:t>בהתחשב</w:t>
      </w:r>
      <w:r w:rsidRPr="00531BD3">
        <w:rPr>
          <w:rtl/>
        </w:rPr>
        <w:t xml:space="preserve"> </w:t>
      </w:r>
      <w:r w:rsidRPr="00531BD3">
        <w:rPr>
          <w:rFonts w:hint="eastAsia"/>
          <w:rtl/>
        </w:rPr>
        <w:t>בין</w:t>
      </w:r>
      <w:r w:rsidRPr="00531BD3">
        <w:rPr>
          <w:rtl/>
        </w:rPr>
        <w:t xml:space="preserve"> </w:t>
      </w:r>
      <w:r w:rsidRPr="00531BD3">
        <w:rPr>
          <w:rFonts w:hint="eastAsia"/>
          <w:rtl/>
        </w:rPr>
        <w:t>היתר</w:t>
      </w:r>
      <w:r w:rsidRPr="00531BD3">
        <w:rPr>
          <w:rtl/>
        </w:rPr>
        <w:t xml:space="preserve"> </w:t>
      </w:r>
      <w:r w:rsidRPr="00531BD3">
        <w:rPr>
          <w:rFonts w:hint="eastAsia"/>
          <w:rtl/>
        </w:rPr>
        <w:t>בהיקפם</w:t>
      </w:r>
      <w:r w:rsidRPr="00531BD3">
        <w:rPr>
          <w:rtl/>
        </w:rPr>
        <w:t xml:space="preserve"> </w:t>
      </w:r>
      <w:r w:rsidRPr="00531BD3">
        <w:rPr>
          <w:rFonts w:hint="eastAsia"/>
          <w:rtl/>
        </w:rPr>
        <w:t>של</w:t>
      </w:r>
      <w:r w:rsidRPr="00531BD3">
        <w:rPr>
          <w:rtl/>
        </w:rPr>
        <w:t xml:space="preserve"> </w:t>
      </w:r>
      <w:r w:rsidRPr="00531BD3">
        <w:rPr>
          <w:rFonts w:hint="eastAsia"/>
          <w:rtl/>
        </w:rPr>
        <w:t>המעשים</w:t>
      </w:r>
      <w:r w:rsidRPr="00531BD3">
        <w:rPr>
          <w:rtl/>
        </w:rPr>
        <w:t xml:space="preserve">, </w:t>
      </w:r>
      <w:r w:rsidRPr="00531BD3">
        <w:rPr>
          <w:rFonts w:hint="eastAsia"/>
          <w:rtl/>
        </w:rPr>
        <w:t>חומרתם</w:t>
      </w:r>
      <w:r w:rsidRPr="00531BD3">
        <w:rPr>
          <w:rtl/>
        </w:rPr>
        <w:t xml:space="preserve"> </w:t>
      </w:r>
      <w:r w:rsidRPr="00531BD3">
        <w:rPr>
          <w:rFonts w:hint="eastAsia"/>
          <w:rtl/>
        </w:rPr>
        <w:t>ותדירותם</w:t>
      </w:r>
      <w:r w:rsidRPr="00531BD3">
        <w:rPr>
          <w:rtl/>
        </w:rPr>
        <w:t xml:space="preserve">; </w:t>
      </w:r>
    </w:p>
    <w:p w:rsidR="008A4DD4" w:rsidRPr="00531BD3" w:rsidRDefault="008A4DD4" w:rsidP="008A4DD4">
      <w:pPr>
        <w:pStyle w:val="Ruller41"/>
        <w:rPr>
          <w:rtl/>
        </w:rPr>
      </w:pPr>
    </w:p>
    <w:p w:rsidR="008A4DD4" w:rsidRPr="00531BD3" w:rsidRDefault="008A4DD4" w:rsidP="008A4DD4">
      <w:pPr>
        <w:pStyle w:val="Ruller41"/>
        <w:ind w:left="800" w:hanging="800"/>
        <w:rPr>
          <w:rtl/>
        </w:rPr>
      </w:pPr>
      <w:r w:rsidRPr="00531BD3">
        <w:rPr>
          <w:rtl/>
        </w:rPr>
        <w:tab/>
      </w:r>
      <w:r w:rsidRPr="00531BD3">
        <w:rPr>
          <w:rFonts w:hint="cs"/>
          <w:rtl/>
        </w:rPr>
        <w:t xml:space="preserve">(ב) </w:t>
      </w:r>
      <w:r w:rsidRPr="00531BD3">
        <w:rPr>
          <w:rtl/>
        </w:rPr>
        <w:t xml:space="preserve">מאפייניו של התאגיד – ובכלל זה גודלו של התאגיד, מידת ההשפעה שיש לו על הציבור ועל המשק </w:t>
      </w:r>
      <w:r w:rsidRPr="00531BD3">
        <w:rPr>
          <w:rFonts w:hint="eastAsia"/>
          <w:rtl/>
        </w:rPr>
        <w:t>ומידת</w:t>
      </w:r>
      <w:r w:rsidRPr="00531BD3">
        <w:rPr>
          <w:rtl/>
        </w:rPr>
        <w:t xml:space="preserve"> "ציבוריותו";</w:t>
      </w:r>
    </w:p>
    <w:p w:rsidR="008A4DD4" w:rsidRPr="00531BD3" w:rsidRDefault="008A4DD4" w:rsidP="008A4DD4">
      <w:pPr>
        <w:pStyle w:val="Ruller41"/>
        <w:rPr>
          <w:rtl/>
        </w:rPr>
      </w:pPr>
    </w:p>
    <w:p w:rsidR="008A4DD4" w:rsidRPr="00531BD3" w:rsidRDefault="008A4DD4" w:rsidP="008A4DD4">
      <w:pPr>
        <w:pStyle w:val="Ruller41"/>
        <w:ind w:left="800" w:hanging="800"/>
        <w:rPr>
          <w:rtl/>
        </w:rPr>
      </w:pPr>
      <w:r w:rsidRPr="00531BD3">
        <w:rPr>
          <w:rtl/>
        </w:rPr>
        <w:tab/>
      </w:r>
      <w:r w:rsidRPr="00531BD3">
        <w:rPr>
          <w:rFonts w:hint="cs"/>
          <w:rtl/>
        </w:rPr>
        <w:t xml:space="preserve">(ג) </w:t>
      </w:r>
      <w:r w:rsidRPr="00531BD3">
        <w:rPr>
          <w:rtl/>
        </w:rPr>
        <w:t xml:space="preserve">מעמדו של העובד בתאגיד – כאשר בכירותו של עובד עשויה לעצב באופן שונה את </w:t>
      </w:r>
      <w:r w:rsidRPr="00531BD3">
        <w:rPr>
          <w:rFonts w:hint="eastAsia"/>
          <w:rtl/>
        </w:rPr>
        <w:t>חובותיו</w:t>
      </w:r>
      <w:r w:rsidRPr="00531BD3">
        <w:rPr>
          <w:rtl/>
        </w:rPr>
        <w:t xml:space="preserve"> כלפי החברה;</w:t>
      </w:r>
    </w:p>
    <w:p w:rsidR="008A4DD4" w:rsidRPr="00531BD3" w:rsidRDefault="008A4DD4" w:rsidP="008A4DD4">
      <w:pPr>
        <w:pStyle w:val="Ruller41"/>
        <w:rPr>
          <w:rtl/>
        </w:rPr>
      </w:pPr>
    </w:p>
    <w:p w:rsidR="008A4DD4" w:rsidRPr="00531BD3" w:rsidRDefault="008A4DD4" w:rsidP="008A4DD4">
      <w:pPr>
        <w:pStyle w:val="Ruller41"/>
        <w:ind w:left="800" w:hanging="800"/>
        <w:rPr>
          <w:rtl/>
        </w:rPr>
      </w:pPr>
      <w:r w:rsidRPr="00531BD3">
        <w:rPr>
          <w:rtl/>
        </w:rPr>
        <w:tab/>
      </w:r>
      <w:r w:rsidRPr="00531BD3">
        <w:rPr>
          <w:rFonts w:hint="cs"/>
          <w:rtl/>
        </w:rPr>
        <w:t xml:space="preserve">(ד) </w:t>
      </w:r>
      <w:r w:rsidRPr="00531BD3">
        <w:rPr>
          <w:rFonts w:hint="eastAsia"/>
          <w:rtl/>
        </w:rPr>
        <w:t>מידת</w:t>
      </w:r>
      <w:r w:rsidRPr="00531BD3">
        <w:rPr>
          <w:rtl/>
        </w:rPr>
        <w:t xml:space="preserve"> </w:t>
      </w:r>
      <w:r w:rsidRPr="00531BD3">
        <w:rPr>
          <w:rFonts w:hint="eastAsia"/>
          <w:rtl/>
        </w:rPr>
        <w:t>הסטייה</w:t>
      </w:r>
      <w:r w:rsidRPr="00531BD3">
        <w:rPr>
          <w:rtl/>
        </w:rPr>
        <w:t xml:space="preserve"> </w:t>
      </w:r>
      <w:r w:rsidRPr="00531BD3">
        <w:rPr>
          <w:rFonts w:hint="eastAsia"/>
          <w:rtl/>
        </w:rPr>
        <w:t>מהשורה</w:t>
      </w:r>
      <w:r w:rsidRPr="00531BD3">
        <w:rPr>
          <w:rtl/>
        </w:rPr>
        <w:t xml:space="preserve"> – </w:t>
      </w:r>
      <w:r w:rsidRPr="00531BD3">
        <w:rPr>
          <w:rFonts w:hint="eastAsia"/>
          <w:rtl/>
        </w:rPr>
        <w:t>אף</w:t>
      </w:r>
      <w:r w:rsidRPr="00531BD3">
        <w:rPr>
          <w:rtl/>
        </w:rPr>
        <w:t xml:space="preserve"> </w:t>
      </w:r>
      <w:r w:rsidRPr="00531BD3">
        <w:rPr>
          <w:rFonts w:hint="eastAsia"/>
          <w:rtl/>
        </w:rPr>
        <w:t>כי</w:t>
      </w:r>
      <w:r w:rsidRPr="00531BD3">
        <w:rPr>
          <w:rtl/>
        </w:rPr>
        <w:t xml:space="preserve"> </w:t>
      </w:r>
      <w:r w:rsidRPr="00531BD3">
        <w:rPr>
          <w:rFonts w:hint="eastAsia"/>
          <w:rtl/>
        </w:rPr>
        <w:t>מדובר</w:t>
      </w:r>
      <w:r w:rsidRPr="00531BD3">
        <w:rPr>
          <w:rtl/>
        </w:rPr>
        <w:t xml:space="preserve"> </w:t>
      </w:r>
      <w:r w:rsidRPr="00531BD3">
        <w:rPr>
          <w:rFonts w:hint="eastAsia"/>
          <w:rtl/>
        </w:rPr>
        <w:t>בשיקול</w:t>
      </w:r>
      <w:r w:rsidRPr="00531BD3">
        <w:rPr>
          <w:rtl/>
        </w:rPr>
        <w:t xml:space="preserve"> </w:t>
      </w:r>
      <w:r w:rsidRPr="00531BD3">
        <w:rPr>
          <w:rFonts w:hint="eastAsia"/>
          <w:rtl/>
        </w:rPr>
        <w:t>אשר</w:t>
      </w:r>
      <w:r w:rsidRPr="00531BD3">
        <w:rPr>
          <w:rtl/>
        </w:rPr>
        <w:t xml:space="preserve"> </w:t>
      </w:r>
      <w:r w:rsidRPr="00531BD3">
        <w:rPr>
          <w:rFonts w:hint="eastAsia"/>
          <w:rtl/>
        </w:rPr>
        <w:t>רלוונטי</w:t>
      </w:r>
      <w:r w:rsidRPr="00531BD3">
        <w:rPr>
          <w:rtl/>
        </w:rPr>
        <w:t xml:space="preserve"> </w:t>
      </w:r>
      <w:r w:rsidRPr="00531BD3">
        <w:rPr>
          <w:rFonts w:hint="eastAsia"/>
          <w:rtl/>
        </w:rPr>
        <w:t>בעיקר</w:t>
      </w:r>
      <w:r w:rsidRPr="00531BD3">
        <w:rPr>
          <w:rtl/>
        </w:rPr>
        <w:t xml:space="preserve"> </w:t>
      </w:r>
      <w:r w:rsidRPr="00531BD3">
        <w:rPr>
          <w:rFonts w:hint="eastAsia"/>
          <w:rtl/>
        </w:rPr>
        <w:t>כאשר</w:t>
      </w:r>
      <w:r w:rsidRPr="00531BD3">
        <w:rPr>
          <w:rtl/>
        </w:rPr>
        <w:t xml:space="preserve"> </w:t>
      </w:r>
      <w:r w:rsidRPr="00531BD3">
        <w:rPr>
          <w:rFonts w:hint="eastAsia"/>
          <w:rtl/>
        </w:rPr>
        <w:t>מדובר</w:t>
      </w:r>
      <w:r w:rsidRPr="00531BD3">
        <w:rPr>
          <w:rtl/>
        </w:rPr>
        <w:t xml:space="preserve"> </w:t>
      </w:r>
      <w:r w:rsidRPr="00531BD3">
        <w:rPr>
          <w:rFonts w:hint="eastAsia"/>
          <w:rtl/>
        </w:rPr>
        <w:t>בעבירה</w:t>
      </w:r>
      <w:r w:rsidRPr="00531BD3">
        <w:rPr>
          <w:rtl/>
        </w:rPr>
        <w:t xml:space="preserve"> </w:t>
      </w:r>
      <w:r w:rsidRPr="00531BD3">
        <w:rPr>
          <w:rFonts w:hint="eastAsia"/>
          <w:rtl/>
        </w:rPr>
        <w:t>של</w:t>
      </w:r>
      <w:r w:rsidRPr="00531BD3">
        <w:rPr>
          <w:rtl/>
        </w:rPr>
        <w:t xml:space="preserve"> </w:t>
      </w:r>
      <w:r w:rsidRPr="00531BD3">
        <w:rPr>
          <w:rFonts w:hint="eastAsia"/>
          <w:rtl/>
        </w:rPr>
        <w:t>מרמה</w:t>
      </w:r>
      <w:r w:rsidRPr="00531BD3">
        <w:rPr>
          <w:rtl/>
        </w:rPr>
        <w:t xml:space="preserve"> </w:t>
      </w:r>
      <w:r w:rsidRPr="00531BD3">
        <w:rPr>
          <w:rFonts w:hint="eastAsia"/>
          <w:rtl/>
        </w:rPr>
        <w:t>והפרת</w:t>
      </w:r>
      <w:r w:rsidRPr="00531BD3">
        <w:rPr>
          <w:rtl/>
        </w:rPr>
        <w:t xml:space="preserve"> </w:t>
      </w:r>
      <w:r w:rsidRPr="00531BD3">
        <w:rPr>
          <w:rFonts w:hint="eastAsia"/>
          <w:rtl/>
        </w:rPr>
        <w:t>אמונים</w:t>
      </w:r>
      <w:r w:rsidRPr="00531BD3">
        <w:rPr>
          <w:rtl/>
        </w:rPr>
        <w:t xml:space="preserve"> </w:t>
      </w:r>
      <w:r w:rsidRPr="00531BD3">
        <w:rPr>
          <w:rFonts w:hint="eastAsia"/>
          <w:rtl/>
        </w:rPr>
        <w:t>של</w:t>
      </w:r>
      <w:r w:rsidRPr="00531BD3">
        <w:rPr>
          <w:rtl/>
        </w:rPr>
        <w:t xml:space="preserve"> </w:t>
      </w:r>
      <w:r w:rsidRPr="00531BD3">
        <w:rPr>
          <w:rFonts w:hint="eastAsia"/>
          <w:rtl/>
        </w:rPr>
        <w:t>עובד</w:t>
      </w:r>
      <w:r w:rsidRPr="00531BD3">
        <w:rPr>
          <w:rtl/>
        </w:rPr>
        <w:t xml:space="preserve"> </w:t>
      </w:r>
      <w:r w:rsidRPr="00531BD3">
        <w:rPr>
          <w:rFonts w:hint="eastAsia"/>
          <w:rtl/>
        </w:rPr>
        <w:t>ציבור</w:t>
      </w:r>
      <w:r w:rsidRPr="00531BD3">
        <w:rPr>
          <w:rtl/>
        </w:rPr>
        <w:t xml:space="preserve">, </w:t>
      </w:r>
      <w:r w:rsidRPr="00531BD3">
        <w:rPr>
          <w:rFonts w:hint="eastAsia"/>
          <w:rtl/>
        </w:rPr>
        <w:t>עליו</w:t>
      </w:r>
      <w:r w:rsidRPr="00531BD3">
        <w:rPr>
          <w:rtl/>
        </w:rPr>
        <w:t xml:space="preserve"> </w:t>
      </w:r>
      <w:r w:rsidRPr="00531BD3">
        <w:rPr>
          <w:rFonts w:hint="eastAsia"/>
          <w:rtl/>
        </w:rPr>
        <w:t>חלות</w:t>
      </w:r>
      <w:r w:rsidRPr="00531BD3">
        <w:rPr>
          <w:rtl/>
        </w:rPr>
        <w:t xml:space="preserve"> </w:t>
      </w:r>
      <w:r w:rsidRPr="00531BD3">
        <w:rPr>
          <w:rFonts w:hint="eastAsia"/>
          <w:rtl/>
        </w:rPr>
        <w:t>נורמות</w:t>
      </w:r>
      <w:r w:rsidRPr="00531BD3">
        <w:rPr>
          <w:rtl/>
        </w:rPr>
        <w:t xml:space="preserve"> </w:t>
      </w:r>
      <w:r w:rsidRPr="00531BD3">
        <w:rPr>
          <w:rFonts w:hint="eastAsia"/>
          <w:rtl/>
        </w:rPr>
        <w:t>רבות</w:t>
      </w:r>
      <w:r w:rsidRPr="00531BD3">
        <w:rPr>
          <w:rtl/>
        </w:rPr>
        <w:t xml:space="preserve"> </w:t>
      </w:r>
      <w:r w:rsidRPr="00531BD3">
        <w:rPr>
          <w:rFonts w:hint="eastAsia"/>
          <w:rtl/>
        </w:rPr>
        <w:t>וכללי</w:t>
      </w:r>
      <w:r w:rsidRPr="00531BD3">
        <w:rPr>
          <w:rtl/>
        </w:rPr>
        <w:t xml:space="preserve"> </w:t>
      </w:r>
      <w:r w:rsidRPr="00531BD3">
        <w:rPr>
          <w:rFonts w:hint="eastAsia"/>
          <w:rtl/>
        </w:rPr>
        <w:t>התנהגות</w:t>
      </w:r>
      <w:r w:rsidRPr="00531BD3">
        <w:rPr>
          <w:rtl/>
        </w:rPr>
        <w:t xml:space="preserve"> </w:t>
      </w:r>
      <w:r w:rsidRPr="00531BD3">
        <w:rPr>
          <w:rFonts w:hint="eastAsia"/>
          <w:rtl/>
        </w:rPr>
        <w:t>רבים</w:t>
      </w:r>
      <w:r w:rsidRPr="00531BD3">
        <w:rPr>
          <w:rtl/>
        </w:rPr>
        <w:t xml:space="preserve">, </w:t>
      </w:r>
      <w:r w:rsidRPr="00531BD3">
        <w:rPr>
          <w:rFonts w:hint="eastAsia"/>
          <w:rtl/>
        </w:rPr>
        <w:t>הרי</w:t>
      </w:r>
      <w:r w:rsidRPr="00531BD3">
        <w:rPr>
          <w:rtl/>
        </w:rPr>
        <w:t xml:space="preserve"> </w:t>
      </w:r>
      <w:r w:rsidRPr="00531BD3">
        <w:rPr>
          <w:rFonts w:hint="eastAsia"/>
          <w:rtl/>
        </w:rPr>
        <w:t>שגם</w:t>
      </w:r>
      <w:r w:rsidRPr="00531BD3">
        <w:rPr>
          <w:rtl/>
        </w:rPr>
        <w:t xml:space="preserve"> </w:t>
      </w:r>
      <w:r w:rsidRPr="00531BD3">
        <w:rPr>
          <w:rFonts w:hint="eastAsia"/>
          <w:rtl/>
        </w:rPr>
        <w:t>בעניינו</w:t>
      </w:r>
      <w:r w:rsidRPr="00531BD3">
        <w:rPr>
          <w:rtl/>
        </w:rPr>
        <w:t xml:space="preserve"> </w:t>
      </w:r>
      <w:r w:rsidRPr="00531BD3">
        <w:rPr>
          <w:rFonts w:hint="eastAsia"/>
          <w:rtl/>
        </w:rPr>
        <w:t>של</w:t>
      </w:r>
      <w:r w:rsidRPr="00531BD3">
        <w:rPr>
          <w:rtl/>
        </w:rPr>
        <w:t xml:space="preserve"> </w:t>
      </w:r>
      <w:r w:rsidRPr="00531BD3">
        <w:rPr>
          <w:rFonts w:hint="eastAsia"/>
          <w:rtl/>
        </w:rPr>
        <w:t>מי</w:t>
      </w:r>
      <w:r w:rsidRPr="00531BD3">
        <w:rPr>
          <w:rtl/>
        </w:rPr>
        <w:t xml:space="preserve"> </w:t>
      </w:r>
      <w:r w:rsidRPr="00531BD3">
        <w:rPr>
          <w:rFonts w:hint="eastAsia"/>
          <w:rtl/>
        </w:rPr>
        <w:t>שאינו</w:t>
      </w:r>
      <w:r w:rsidRPr="00531BD3">
        <w:rPr>
          <w:rtl/>
        </w:rPr>
        <w:t xml:space="preserve"> </w:t>
      </w:r>
      <w:r w:rsidRPr="00531BD3">
        <w:rPr>
          <w:rFonts w:hint="eastAsia"/>
          <w:rtl/>
        </w:rPr>
        <w:t>עובד</w:t>
      </w:r>
      <w:r w:rsidRPr="00531BD3">
        <w:rPr>
          <w:rtl/>
        </w:rPr>
        <w:t xml:space="preserve"> </w:t>
      </w:r>
      <w:r w:rsidRPr="00531BD3">
        <w:rPr>
          <w:rFonts w:hint="eastAsia"/>
          <w:rtl/>
        </w:rPr>
        <w:t>ציבור</w:t>
      </w:r>
      <w:r w:rsidRPr="00531BD3">
        <w:rPr>
          <w:rtl/>
        </w:rPr>
        <w:t xml:space="preserve">, </w:t>
      </w:r>
      <w:r w:rsidRPr="00531BD3">
        <w:rPr>
          <w:rFonts w:hint="eastAsia"/>
          <w:rtl/>
        </w:rPr>
        <w:t>יש</w:t>
      </w:r>
      <w:r w:rsidRPr="00531BD3">
        <w:rPr>
          <w:rtl/>
        </w:rPr>
        <w:t xml:space="preserve"> </w:t>
      </w:r>
      <w:proofErr w:type="spellStart"/>
      <w:r w:rsidRPr="00531BD3">
        <w:rPr>
          <w:rFonts w:hint="eastAsia"/>
          <w:rtl/>
        </w:rPr>
        <w:t>ליתן</w:t>
      </w:r>
      <w:proofErr w:type="spellEnd"/>
      <w:r w:rsidRPr="00531BD3">
        <w:rPr>
          <w:rtl/>
        </w:rPr>
        <w:t xml:space="preserve"> </w:t>
      </w:r>
      <w:r w:rsidRPr="00531BD3">
        <w:rPr>
          <w:rFonts w:hint="eastAsia"/>
          <w:rtl/>
        </w:rPr>
        <w:t>משקל</w:t>
      </w:r>
      <w:r w:rsidRPr="00531BD3">
        <w:rPr>
          <w:rtl/>
        </w:rPr>
        <w:t xml:space="preserve"> </w:t>
      </w:r>
      <w:r w:rsidRPr="00531BD3">
        <w:rPr>
          <w:rFonts w:hint="eastAsia"/>
          <w:rtl/>
        </w:rPr>
        <w:t>למידת</w:t>
      </w:r>
      <w:r w:rsidRPr="00531BD3">
        <w:rPr>
          <w:rtl/>
        </w:rPr>
        <w:t xml:space="preserve"> </w:t>
      </w:r>
      <w:r w:rsidRPr="00531BD3">
        <w:rPr>
          <w:rFonts w:hint="eastAsia"/>
          <w:rtl/>
        </w:rPr>
        <w:t>הסטייה</w:t>
      </w:r>
      <w:r w:rsidRPr="00531BD3">
        <w:rPr>
          <w:rtl/>
        </w:rPr>
        <w:t xml:space="preserve"> </w:t>
      </w:r>
      <w:r w:rsidRPr="00531BD3">
        <w:rPr>
          <w:rFonts w:hint="eastAsia"/>
          <w:rtl/>
        </w:rPr>
        <w:t>מהשורה</w:t>
      </w:r>
      <w:r w:rsidRPr="00531BD3">
        <w:rPr>
          <w:rtl/>
        </w:rPr>
        <w:t xml:space="preserve">, </w:t>
      </w:r>
      <w:r w:rsidRPr="00531BD3">
        <w:rPr>
          <w:rFonts w:hint="eastAsia"/>
          <w:rtl/>
        </w:rPr>
        <w:t>אם</w:t>
      </w:r>
      <w:r w:rsidRPr="00531BD3">
        <w:rPr>
          <w:rtl/>
        </w:rPr>
        <w:t xml:space="preserve"> </w:t>
      </w:r>
      <w:r w:rsidRPr="00531BD3">
        <w:rPr>
          <w:rFonts w:hint="eastAsia"/>
          <w:rtl/>
        </w:rPr>
        <w:t>ישנה</w:t>
      </w:r>
      <w:r w:rsidRPr="00531BD3">
        <w:rPr>
          <w:rtl/>
        </w:rPr>
        <w:t xml:space="preserve">. </w:t>
      </w:r>
      <w:r w:rsidRPr="00531BD3">
        <w:rPr>
          <w:rFonts w:hint="eastAsia"/>
          <w:rtl/>
        </w:rPr>
        <w:t>זאת</w:t>
      </w:r>
      <w:r w:rsidRPr="00531BD3">
        <w:rPr>
          <w:rtl/>
        </w:rPr>
        <w:t xml:space="preserve"> </w:t>
      </w:r>
      <w:r w:rsidRPr="00531BD3">
        <w:rPr>
          <w:rFonts w:hint="eastAsia"/>
          <w:rtl/>
        </w:rPr>
        <w:t>במובן</w:t>
      </w:r>
      <w:r w:rsidRPr="00531BD3">
        <w:rPr>
          <w:rtl/>
        </w:rPr>
        <w:t xml:space="preserve"> </w:t>
      </w:r>
      <w:r w:rsidRPr="00531BD3">
        <w:rPr>
          <w:rFonts w:hint="eastAsia"/>
          <w:rtl/>
        </w:rPr>
        <w:t>של</w:t>
      </w:r>
      <w:r w:rsidRPr="00531BD3">
        <w:rPr>
          <w:rtl/>
        </w:rPr>
        <w:t xml:space="preserve"> </w:t>
      </w:r>
      <w:r w:rsidRPr="00531BD3">
        <w:rPr>
          <w:rFonts w:hint="eastAsia"/>
          <w:rtl/>
        </w:rPr>
        <w:t>סטייה</w:t>
      </w:r>
      <w:r w:rsidRPr="00531BD3">
        <w:rPr>
          <w:rtl/>
        </w:rPr>
        <w:t xml:space="preserve"> </w:t>
      </w:r>
      <w:r w:rsidRPr="00531BD3">
        <w:rPr>
          <w:rFonts w:hint="eastAsia"/>
          <w:rtl/>
        </w:rPr>
        <w:t>מהכללים</w:t>
      </w:r>
      <w:r w:rsidRPr="00531BD3">
        <w:rPr>
          <w:rtl/>
        </w:rPr>
        <w:t xml:space="preserve"> </w:t>
      </w:r>
      <w:r w:rsidRPr="00531BD3">
        <w:rPr>
          <w:rFonts w:hint="eastAsia"/>
          <w:rtl/>
        </w:rPr>
        <w:t>החלים</w:t>
      </w:r>
      <w:r w:rsidRPr="00531BD3">
        <w:rPr>
          <w:rtl/>
        </w:rPr>
        <w:t xml:space="preserve"> </w:t>
      </w:r>
      <w:r w:rsidRPr="00531BD3">
        <w:rPr>
          <w:rFonts w:hint="eastAsia"/>
          <w:rtl/>
        </w:rPr>
        <w:t>על</w:t>
      </w:r>
      <w:r w:rsidRPr="00531BD3">
        <w:rPr>
          <w:rtl/>
        </w:rPr>
        <w:t xml:space="preserve"> </w:t>
      </w:r>
      <w:r w:rsidRPr="00531BD3">
        <w:rPr>
          <w:rFonts w:hint="eastAsia"/>
          <w:rtl/>
        </w:rPr>
        <w:t>אותו</w:t>
      </w:r>
      <w:r w:rsidRPr="00531BD3">
        <w:rPr>
          <w:rtl/>
        </w:rPr>
        <w:t xml:space="preserve"> </w:t>
      </w:r>
      <w:r w:rsidRPr="00531BD3">
        <w:rPr>
          <w:rFonts w:hint="eastAsia"/>
          <w:rtl/>
        </w:rPr>
        <w:t>עובד</w:t>
      </w:r>
      <w:r w:rsidRPr="00531BD3">
        <w:rPr>
          <w:rtl/>
        </w:rPr>
        <w:t xml:space="preserve"> </w:t>
      </w:r>
      <w:r w:rsidRPr="00531BD3">
        <w:rPr>
          <w:rFonts w:hint="eastAsia"/>
          <w:rtl/>
        </w:rPr>
        <w:t>במסגרת</w:t>
      </w:r>
      <w:r w:rsidRPr="00531BD3">
        <w:rPr>
          <w:rtl/>
        </w:rPr>
        <w:t xml:space="preserve"> </w:t>
      </w:r>
      <w:r w:rsidRPr="00531BD3">
        <w:rPr>
          <w:rFonts w:hint="eastAsia"/>
          <w:rtl/>
        </w:rPr>
        <w:t>התפקידים</w:t>
      </w:r>
      <w:r w:rsidRPr="00531BD3">
        <w:rPr>
          <w:rtl/>
        </w:rPr>
        <w:t xml:space="preserve"> </w:t>
      </w:r>
      <w:r w:rsidRPr="00531BD3">
        <w:rPr>
          <w:rFonts w:hint="eastAsia"/>
          <w:rtl/>
        </w:rPr>
        <w:t>שהוטלו</w:t>
      </w:r>
      <w:r w:rsidRPr="00531BD3">
        <w:rPr>
          <w:rtl/>
        </w:rPr>
        <w:t xml:space="preserve"> </w:t>
      </w:r>
      <w:r w:rsidRPr="00531BD3">
        <w:rPr>
          <w:rFonts w:hint="eastAsia"/>
          <w:rtl/>
        </w:rPr>
        <w:t>עליו</w:t>
      </w:r>
      <w:r w:rsidRPr="00531BD3">
        <w:rPr>
          <w:rtl/>
        </w:rPr>
        <w:t xml:space="preserve"> </w:t>
      </w:r>
      <w:r w:rsidRPr="00531BD3">
        <w:rPr>
          <w:rFonts w:hint="eastAsia"/>
          <w:rtl/>
        </w:rPr>
        <w:t>בתאגיד</w:t>
      </w:r>
      <w:r w:rsidRPr="00531BD3">
        <w:rPr>
          <w:rtl/>
        </w:rPr>
        <w:t>.</w:t>
      </w:r>
    </w:p>
    <w:p w:rsidR="008A4DD4" w:rsidRPr="00531BD3" w:rsidRDefault="008A4DD4" w:rsidP="008A4DD4">
      <w:pPr>
        <w:pStyle w:val="Ruller41"/>
        <w:rPr>
          <w:rtl/>
        </w:rPr>
      </w:pPr>
    </w:p>
    <w:p w:rsidR="008A4DD4" w:rsidRPr="00531BD3" w:rsidRDefault="008A4DD4" w:rsidP="008A4DD4">
      <w:pPr>
        <w:pStyle w:val="Ruller4"/>
        <w:numPr>
          <w:ilvl w:val="0"/>
          <w:numId w:val="0"/>
        </w:numPr>
        <w:rPr>
          <w:rtl/>
        </w:rPr>
      </w:pPr>
      <w:r>
        <w:rPr>
          <w:rtl/>
        </w:rPr>
        <w:tab/>
      </w:r>
      <w:r w:rsidRPr="00531BD3">
        <w:rPr>
          <w:rFonts w:hint="cs"/>
          <w:rtl/>
        </w:rPr>
        <w:t xml:space="preserve">ויודגש, עבירת המרמה והפרת אמונים איננה מתייחסת בהכרח למעשים אשר </w:t>
      </w:r>
      <w:r w:rsidRPr="00531BD3">
        <w:rPr>
          <w:rFonts w:ascii="Century" w:hAnsi="Century" w:cs="Miriam" w:hint="eastAsia"/>
          <w:b/>
          <w:spacing w:val="0"/>
          <w:sz w:val="22"/>
          <w:szCs w:val="24"/>
          <w:rtl/>
        </w:rPr>
        <w:t>אסורים</w:t>
      </w:r>
      <w:r w:rsidRPr="00531BD3">
        <w:rPr>
          <w:rFonts w:ascii="Century" w:hAnsi="Century" w:cs="Miriam"/>
          <w:b/>
          <w:spacing w:val="0"/>
          <w:sz w:val="22"/>
          <w:szCs w:val="24"/>
          <w:rtl/>
        </w:rPr>
        <w:t xml:space="preserve"> </w:t>
      </w:r>
      <w:r w:rsidRPr="00531BD3">
        <w:rPr>
          <w:rFonts w:ascii="Century" w:hAnsi="Century" w:cs="Miriam" w:hint="eastAsia"/>
          <w:b/>
          <w:spacing w:val="0"/>
          <w:sz w:val="22"/>
          <w:szCs w:val="24"/>
          <w:rtl/>
        </w:rPr>
        <w:t>כשלעצמם</w:t>
      </w:r>
      <w:r w:rsidRPr="00531BD3">
        <w:rPr>
          <w:rFonts w:hint="cs"/>
          <w:rtl/>
        </w:rPr>
        <w:t xml:space="preserve"> על פי דין (</w:t>
      </w:r>
      <w:proofErr w:type="spellStart"/>
      <w:r w:rsidRPr="00531BD3">
        <w:rPr>
          <w:rFonts w:ascii="Century" w:hAnsi="Century" w:cs="Miriam" w:hint="cs"/>
          <w:b/>
          <w:spacing w:val="0"/>
          <w:sz w:val="22"/>
          <w:szCs w:val="24"/>
          <w:rtl/>
        </w:rPr>
        <w:t>קרניאל</w:t>
      </w:r>
      <w:proofErr w:type="spellEnd"/>
      <w:r w:rsidRPr="00531BD3">
        <w:rPr>
          <w:rFonts w:hint="cs"/>
          <w:rtl/>
        </w:rPr>
        <w:t xml:space="preserve">, עמ' 100-99). הפרת האמונים עשויה להתפרש גם כהפרת </w:t>
      </w:r>
      <w:r w:rsidRPr="00531BD3">
        <w:rPr>
          <w:rFonts w:hint="eastAsia"/>
          <w:rtl/>
        </w:rPr>
        <w:t>אמון</w:t>
      </w:r>
      <w:r w:rsidRPr="00531BD3">
        <w:rPr>
          <w:rtl/>
        </w:rPr>
        <w:t xml:space="preserve"> </w:t>
      </w:r>
      <w:r w:rsidRPr="00531BD3">
        <w:rPr>
          <w:rFonts w:hint="cs"/>
          <w:rtl/>
        </w:rPr>
        <w:t>א</w:t>
      </w:r>
      <w:r w:rsidRPr="00531BD3">
        <w:rPr>
          <w:rFonts w:hint="eastAsia"/>
          <w:rtl/>
        </w:rPr>
        <w:t>ש</w:t>
      </w:r>
      <w:r w:rsidRPr="00531BD3">
        <w:rPr>
          <w:rFonts w:hint="cs"/>
          <w:rtl/>
        </w:rPr>
        <w:t xml:space="preserve">ר </w:t>
      </w:r>
      <w:r w:rsidRPr="00531BD3">
        <w:rPr>
          <w:rFonts w:hint="eastAsia"/>
          <w:rtl/>
        </w:rPr>
        <w:t>ניתן</w:t>
      </w:r>
      <w:r w:rsidRPr="00531BD3">
        <w:rPr>
          <w:rtl/>
        </w:rPr>
        <w:t xml:space="preserve"> </w:t>
      </w:r>
      <w:r w:rsidRPr="00531BD3">
        <w:rPr>
          <w:rFonts w:hint="cs"/>
          <w:rtl/>
        </w:rPr>
        <w:t xml:space="preserve">בנאשם </w:t>
      </w:r>
      <w:r w:rsidRPr="00531BD3">
        <w:rPr>
          <w:rFonts w:hint="eastAsia"/>
          <w:rtl/>
        </w:rPr>
        <w:t>הפועל</w:t>
      </w:r>
      <w:r w:rsidRPr="00531BD3">
        <w:rPr>
          <w:rtl/>
        </w:rPr>
        <w:t xml:space="preserve"> </w:t>
      </w:r>
      <w:r w:rsidRPr="00531BD3">
        <w:rPr>
          <w:rFonts w:hint="eastAsia"/>
          <w:rtl/>
        </w:rPr>
        <w:t>באופן</w:t>
      </w:r>
      <w:r w:rsidRPr="00531BD3">
        <w:rPr>
          <w:rtl/>
        </w:rPr>
        <w:t xml:space="preserve"> </w:t>
      </w:r>
      <w:r w:rsidRPr="00531BD3">
        <w:rPr>
          <w:rFonts w:hint="eastAsia"/>
          <w:rtl/>
        </w:rPr>
        <w:t>שאינו</w:t>
      </w:r>
      <w:r w:rsidRPr="00531BD3">
        <w:rPr>
          <w:rtl/>
        </w:rPr>
        <w:t xml:space="preserve"> </w:t>
      </w:r>
      <w:r w:rsidRPr="00531BD3">
        <w:rPr>
          <w:rFonts w:hint="eastAsia"/>
          <w:rtl/>
        </w:rPr>
        <w:t>מגשים</w:t>
      </w:r>
      <w:r w:rsidRPr="00531BD3">
        <w:rPr>
          <w:rtl/>
        </w:rPr>
        <w:t xml:space="preserve"> </w:t>
      </w:r>
      <w:r w:rsidRPr="00531BD3">
        <w:rPr>
          <w:rFonts w:hint="eastAsia"/>
          <w:rtl/>
        </w:rPr>
        <w:t>את</w:t>
      </w:r>
      <w:r w:rsidRPr="00531BD3">
        <w:rPr>
          <w:rtl/>
        </w:rPr>
        <w:t xml:space="preserve"> </w:t>
      </w:r>
      <w:r w:rsidRPr="00531BD3">
        <w:rPr>
          <w:rFonts w:hint="eastAsia"/>
          <w:rtl/>
        </w:rPr>
        <w:t>האינטרס</w:t>
      </w:r>
      <w:r w:rsidRPr="00531BD3">
        <w:rPr>
          <w:rtl/>
        </w:rPr>
        <w:t xml:space="preserve"> </w:t>
      </w:r>
      <w:r w:rsidRPr="00531BD3">
        <w:rPr>
          <w:rFonts w:hint="eastAsia"/>
          <w:rtl/>
        </w:rPr>
        <w:t>שעל</w:t>
      </w:r>
      <w:r w:rsidRPr="00531BD3">
        <w:rPr>
          <w:rtl/>
        </w:rPr>
        <w:t xml:space="preserve"> </w:t>
      </w:r>
      <w:r w:rsidRPr="00531BD3">
        <w:rPr>
          <w:rFonts w:hint="eastAsia"/>
          <w:rtl/>
        </w:rPr>
        <w:t>מילויו</w:t>
      </w:r>
      <w:r w:rsidRPr="00531BD3">
        <w:rPr>
          <w:rtl/>
        </w:rPr>
        <w:t xml:space="preserve"> </w:t>
      </w:r>
      <w:r w:rsidRPr="00531BD3">
        <w:rPr>
          <w:rFonts w:hint="eastAsia"/>
          <w:rtl/>
        </w:rPr>
        <w:t>הופקד</w:t>
      </w:r>
      <w:r w:rsidRPr="00531BD3">
        <w:rPr>
          <w:rFonts w:hint="cs"/>
          <w:rtl/>
        </w:rPr>
        <w:t xml:space="preserve"> (ראו למשל בקשר לעבירת המרמה והפרת אמונים של עובד ציבור: עניין </w:t>
      </w:r>
      <w:r w:rsidRPr="00531BD3">
        <w:rPr>
          <w:rFonts w:ascii="Century" w:hAnsi="Century" w:cs="Miriam" w:hint="cs"/>
          <w:b/>
          <w:spacing w:val="0"/>
          <w:sz w:val="22"/>
          <w:szCs w:val="24"/>
          <w:rtl/>
        </w:rPr>
        <w:t>גרוסמן</w:t>
      </w:r>
      <w:r w:rsidRPr="00531BD3">
        <w:rPr>
          <w:rFonts w:hint="cs"/>
          <w:rtl/>
        </w:rPr>
        <w:t xml:space="preserve">, עמ' 417-416; וכן ראו על הקרבה בין שתי העבירות כאשר מדובר בתאגיד המספק שירות לציבור: עניין </w:t>
      </w:r>
      <w:r w:rsidRPr="00531BD3">
        <w:rPr>
          <w:rFonts w:ascii="Century" w:hAnsi="Century" w:cs="Miriam" w:hint="cs"/>
          <w:b/>
          <w:spacing w:val="0"/>
          <w:sz w:val="22"/>
          <w:szCs w:val="24"/>
          <w:rtl/>
        </w:rPr>
        <w:t>דנקנר</w:t>
      </w:r>
      <w:r w:rsidRPr="00531BD3">
        <w:rPr>
          <w:rFonts w:hint="cs"/>
          <w:rtl/>
        </w:rPr>
        <w:t>, פסקה נ"ט).</w:t>
      </w:r>
    </w:p>
    <w:p w:rsidR="008A4DD4" w:rsidRPr="00531BD3" w:rsidRDefault="008A4DD4" w:rsidP="008A4DD4">
      <w:pPr>
        <w:pStyle w:val="Ruller4"/>
        <w:numPr>
          <w:ilvl w:val="0"/>
          <w:numId w:val="0"/>
        </w:numPr>
      </w:pPr>
    </w:p>
    <w:p w:rsidR="008A4DD4" w:rsidRPr="00531BD3" w:rsidRDefault="008A4DD4" w:rsidP="008A4DD4">
      <w:pPr>
        <w:pStyle w:val="Ruller4"/>
        <w:rPr>
          <w:rtl/>
        </w:rPr>
      </w:pPr>
      <w:r w:rsidRPr="00531BD3">
        <w:rPr>
          <w:rFonts w:hint="cs"/>
          <w:rtl/>
        </w:rPr>
        <w:t xml:space="preserve">ומכאן לשאלה </w:t>
      </w:r>
      <w:r w:rsidRPr="00531BD3">
        <w:rPr>
          <w:rtl/>
        </w:rPr>
        <w:t>–</w:t>
      </w:r>
      <w:r w:rsidRPr="00531BD3">
        <w:rPr>
          <w:rFonts w:hint="cs"/>
          <w:rtl/>
        </w:rPr>
        <w:t xml:space="preserve"> האם ניתן לראות בעובדות כתב האישום (בהנחה כי אלה יוכחו ובהינתן תמונת מצב ראייתית התומכת בהן, אשר אינה גלויה בשלב זה) כעובדות שיש בכוחן לגבש את יסודות עבירת המרמה והפרת אמונים, </w:t>
      </w:r>
      <w:r w:rsidRPr="00531BD3">
        <w:rPr>
          <w:rFonts w:hint="eastAsia"/>
          <w:rtl/>
        </w:rPr>
        <w:t>ברף</w:t>
      </w:r>
      <w:r w:rsidRPr="00531BD3">
        <w:rPr>
          <w:rtl/>
        </w:rPr>
        <w:t xml:space="preserve"> </w:t>
      </w:r>
      <w:r w:rsidRPr="00531BD3">
        <w:rPr>
          <w:rFonts w:hint="eastAsia"/>
          <w:rtl/>
        </w:rPr>
        <w:t>הנדרש</w:t>
      </w:r>
      <w:r w:rsidRPr="00531BD3">
        <w:rPr>
          <w:rtl/>
        </w:rPr>
        <w:t xml:space="preserve"> </w:t>
      </w:r>
      <w:r w:rsidRPr="00531BD3">
        <w:rPr>
          <w:rFonts w:hint="eastAsia"/>
          <w:rtl/>
        </w:rPr>
        <w:t>בשלב</w:t>
      </w:r>
      <w:r w:rsidRPr="00531BD3">
        <w:rPr>
          <w:rtl/>
        </w:rPr>
        <w:t xml:space="preserve"> </w:t>
      </w:r>
      <w:r w:rsidRPr="00531BD3">
        <w:rPr>
          <w:rFonts w:hint="eastAsia"/>
          <w:rtl/>
        </w:rPr>
        <w:t>זה</w:t>
      </w:r>
      <w:r w:rsidRPr="00531BD3">
        <w:rPr>
          <w:rtl/>
        </w:rPr>
        <w:t>?</w:t>
      </w:r>
      <w:r w:rsidRPr="00531BD3">
        <w:rPr>
          <w:rFonts w:hint="cs"/>
          <w:rtl/>
        </w:rPr>
        <w:t xml:space="preserve"> </w:t>
      </w:r>
    </w:p>
    <w:p w:rsidR="008A4DD4" w:rsidRPr="00531BD3" w:rsidRDefault="008A4DD4" w:rsidP="008A4DD4">
      <w:pPr>
        <w:pStyle w:val="Ruller4"/>
        <w:numPr>
          <w:ilvl w:val="0"/>
          <w:numId w:val="0"/>
        </w:numPr>
      </w:pPr>
    </w:p>
    <w:p w:rsidR="008A4DD4" w:rsidRPr="00531BD3" w:rsidRDefault="008A4DD4" w:rsidP="008A4DD4">
      <w:pPr>
        <w:pStyle w:val="Ruller4"/>
        <w:rPr>
          <w:rtl/>
        </w:rPr>
      </w:pPr>
      <w:r w:rsidRPr="00531BD3">
        <w:rPr>
          <w:rFonts w:hint="cs"/>
          <w:rtl/>
        </w:rPr>
        <w:t xml:space="preserve">כאמור לעיל בכתב האישום הובהר כי </w:t>
      </w:r>
      <w:r w:rsidRPr="00531BD3">
        <w:rPr>
          <w:rFonts w:ascii="Century" w:hAnsi="Century" w:hint="cs"/>
          <w:rtl/>
        </w:rPr>
        <w:t>מאופייה ותכליתה של הוועדה,</w:t>
      </w:r>
      <w:r w:rsidRPr="00531BD3">
        <w:rPr>
          <w:rFonts w:hint="cs"/>
          <w:rtl/>
        </w:rPr>
        <w:t xml:space="preserve"> כגוף שנועד להפעיל שיקול דעת עצמאי, נובע כי בעלי העניין האישי כלל לא היו אמורים להיחשף לדיוני הוועדה ולחומרים שהוצגו בה (לגבי עסקת יס-חלל: סעיף 150 לכתב האישום; לגבי עסקת בזק-יס: סעיף 116 לכתב האישום). בקשר לכך, כתב האישום מפרט שורה </w:t>
      </w:r>
      <w:r w:rsidRPr="00C41C8E">
        <w:rPr>
          <w:rFonts w:ascii="Century" w:hAnsi="Century" w:hint="cs"/>
          <w:sz w:val="22"/>
          <w:rtl/>
        </w:rPr>
        <w:t>של עובדות שיש</w:t>
      </w:r>
      <w:r w:rsidRPr="00C41C8E">
        <w:rPr>
          <w:rFonts w:hint="cs"/>
          <w:rtl/>
        </w:rPr>
        <w:t xml:space="preserve"> </w:t>
      </w:r>
      <w:r w:rsidRPr="00531BD3">
        <w:rPr>
          <w:rFonts w:hint="cs"/>
          <w:rtl/>
        </w:rPr>
        <w:t xml:space="preserve">בכוחן לבסס זאת: </w:t>
      </w:r>
    </w:p>
    <w:p w:rsidR="008A4DD4" w:rsidRPr="00531BD3" w:rsidRDefault="008A4DD4" w:rsidP="008A4DD4">
      <w:pPr>
        <w:pStyle w:val="Ruller41"/>
        <w:rPr>
          <w:rtl/>
        </w:rPr>
      </w:pPr>
    </w:p>
    <w:p w:rsidR="008A4DD4" w:rsidRPr="00531BD3" w:rsidRDefault="008A4DD4" w:rsidP="008A4DD4">
      <w:pPr>
        <w:pStyle w:val="Ruller41"/>
        <w:rPr>
          <w:rtl/>
        </w:rPr>
      </w:pPr>
      <w:r w:rsidRPr="00531BD3">
        <w:rPr>
          <w:rtl/>
        </w:rPr>
        <w:tab/>
      </w:r>
      <w:r w:rsidRPr="00531BD3">
        <w:rPr>
          <w:rFonts w:hint="cs"/>
          <w:rtl/>
        </w:rPr>
        <w:t xml:space="preserve">(-) </w:t>
      </w:r>
      <w:r w:rsidRPr="00531BD3">
        <w:rPr>
          <w:rFonts w:ascii="Century" w:hAnsi="Century" w:cs="Miriam" w:hint="cs"/>
          <w:b/>
          <w:spacing w:val="0"/>
          <w:szCs w:val="24"/>
          <w:rtl/>
        </w:rPr>
        <w:t>מצג לפיו החומר סודי ומודעות המשיבים לכך</w:t>
      </w:r>
      <w:r w:rsidRPr="00531BD3">
        <w:rPr>
          <w:rFonts w:ascii="Century" w:hAnsi="Century"/>
          <w:rtl/>
        </w:rPr>
        <w:t>:</w:t>
      </w:r>
      <w:r w:rsidRPr="00531BD3">
        <w:rPr>
          <w:rFonts w:ascii="Century" w:hAnsi="Century" w:cs="Miriam" w:hint="cs"/>
          <w:b/>
          <w:spacing w:val="0"/>
          <w:szCs w:val="24"/>
          <w:rtl/>
        </w:rPr>
        <w:t xml:space="preserve"> </w:t>
      </w:r>
      <w:r w:rsidRPr="00531BD3">
        <w:rPr>
          <w:rFonts w:hint="cs"/>
          <w:rtl/>
        </w:rPr>
        <w:t xml:space="preserve">לגבי עסקת בזק-יס, צוין בכתב האישום כי בעת ההחלטה על הקמת הוועדה קבע דירקטוריון בזק כי </w:t>
      </w:r>
      <w:proofErr w:type="spellStart"/>
      <w:r w:rsidRPr="00531BD3">
        <w:rPr>
          <w:rFonts w:hint="cs"/>
          <w:rtl/>
        </w:rPr>
        <w:t>אלוביץ</w:t>
      </w:r>
      <w:proofErr w:type="spellEnd"/>
      <w:r w:rsidRPr="00531BD3">
        <w:rPr>
          <w:rtl/>
        </w:rPr>
        <w:t>'</w:t>
      </w:r>
      <w:r w:rsidRPr="00531BD3">
        <w:rPr>
          <w:rFonts w:hint="cs"/>
          <w:rtl/>
        </w:rPr>
        <w:t xml:space="preserve"> ושאר בעלי העניין האישי בעסקה, לרבות משיבים 2 ו-3, יהיו "ממודרים" מעבודת הוועדה (סעיף 105 לכתב האישום); וכי בישיבת הדירקטוריון בה הוחלט על הקמת הוועדה המיוחדת, משיבה 4 הציגה מצג לפיו בעלי העניין האישי יהיו ממודרים מעבודתה (סעיף 113 לכתב האישום). יובהר בהקשר זה כי בהיעדר בירור עובדתי, לא ניתן לקבוע כי הכוונה ב"מידור" האמור לאי-נוכחות בעלי העניין בלבד. נוסף על כך צוין בכתב האישום כי דיוני הוועדה והפרוטוקולים נועדו לעיני המשתתפים בהם בלבד (סעיף 114 לכתב האישום) וכי </w:t>
      </w:r>
      <w:proofErr w:type="spellStart"/>
      <w:r w:rsidRPr="00531BD3">
        <w:rPr>
          <w:rFonts w:hint="cs"/>
          <w:rtl/>
        </w:rPr>
        <w:t>אלוביץ</w:t>
      </w:r>
      <w:proofErr w:type="spellEnd"/>
      <w:r w:rsidRPr="00531BD3">
        <w:rPr>
          <w:rFonts w:hint="cs"/>
          <w:rtl/>
        </w:rPr>
        <w:t xml:space="preserve">' ומשיבים 3-2 היו מודעים לכך שהמידע נמסר להם ללא ידיעת הוועדה וללא אישורה (פסקה 116 לכתב האישום). לגבי עסקת יס-חלל הובהר כי משיבה 4 ידעה שהדלפת המידע נעשתה בניגוד לחובתה לשמור על סודיות דיוני הוועדה ועל מידור בעלי העניין האישי מהנעשה בדיוניה, מבלי ליידע את חברי הוועדה על מסירת המידע ותוך הצגת מצג שווא כלפי הוועדה, מוסדות החברה, ציבור המשקיעים וגורמים מחוץ לחברה לפיו הוועדה מנהלת הליך ממודר מבעלי העניין האישי (סעיף 163 לכתב האישום). כמו כן, צוין כי </w:t>
      </w:r>
      <w:proofErr w:type="spellStart"/>
      <w:r w:rsidRPr="00531BD3">
        <w:rPr>
          <w:rFonts w:hint="cs"/>
          <w:rtl/>
        </w:rPr>
        <w:t>אלוביץ</w:t>
      </w:r>
      <w:proofErr w:type="spellEnd"/>
      <w:r w:rsidRPr="00531BD3">
        <w:rPr>
          <w:rFonts w:hint="cs"/>
          <w:rtl/>
        </w:rPr>
        <w:t xml:space="preserve">' ומשיב 2 קיבלו את המידע אף שידעו שכבעלי עניין </w:t>
      </w:r>
      <w:r w:rsidRPr="00531BD3">
        <w:rPr>
          <w:rFonts w:hint="cs"/>
          <w:rtl/>
        </w:rPr>
        <w:lastRenderedPageBreak/>
        <w:t xml:space="preserve">אישי אסור להם להיחשף אליו (סעיף 165 לכתב האישום). גם לגבי עסקה זו הובהר כי דיוני הוועדה וכן המסמכים או המידע שנמסרו במסגרתם נועדו לעיני חברי הוועדה והמשתתפים בהם בלבד, וכי הדבר היה ידוע </w:t>
      </w:r>
      <w:proofErr w:type="spellStart"/>
      <w:r w:rsidRPr="00531BD3">
        <w:rPr>
          <w:rFonts w:hint="cs"/>
          <w:rtl/>
        </w:rPr>
        <w:t>לאלוביץ</w:t>
      </w:r>
      <w:proofErr w:type="spellEnd"/>
      <w:r w:rsidRPr="00531BD3">
        <w:rPr>
          <w:rFonts w:hint="cs"/>
          <w:rtl/>
        </w:rPr>
        <w:t xml:space="preserve">, למשיב 2 ולמשיבה 4 (סעיף 150 לכתב האישום). כמו כן, המצג כלפי בעלי המניות, כפי שהשתקף בכל אחד </w:t>
      </w:r>
      <w:r w:rsidRPr="00531BD3">
        <w:rPr>
          <w:rFonts w:ascii="Century" w:hAnsi="Century" w:cs="Miriam" w:hint="cs"/>
          <w:b/>
          <w:spacing w:val="0"/>
          <w:szCs w:val="24"/>
          <w:rtl/>
        </w:rPr>
        <w:t>מדוחות העסקה</w:t>
      </w:r>
      <w:r w:rsidRPr="00531BD3">
        <w:rPr>
          <w:rFonts w:hint="cs"/>
          <w:rtl/>
        </w:rPr>
        <w:t xml:space="preserve"> שפורסמו כלל התייחסות לאופן פעולת הוועדה ככזה שנועדה להבטיח את אי-תלותה ועצמאותה, תוך מתן דגש על היותה של הוועדה בלתי תלויה ומורכבת מדירקטורים חיצוניים אשר התקשרה עם יועצים חיצונים ובלתי תלויים, ותוך שהובהר כי כל ישיבות הדירקטוריון שאליהן התייחס הדוח התקיימו ללא נוכחות הדירקטורים בעלי העניין האישי (לגבי עסקת בזק-יס: סעיפים 126-125; לגבי עסקת יס-חלל: פסקאות 177-176).</w:t>
      </w:r>
    </w:p>
    <w:p w:rsidR="008A4DD4" w:rsidRPr="00531BD3" w:rsidRDefault="008A4DD4" w:rsidP="008A4DD4">
      <w:pPr>
        <w:pStyle w:val="Ruller41"/>
        <w:rPr>
          <w:rtl/>
        </w:rPr>
      </w:pPr>
    </w:p>
    <w:p w:rsidR="008A4DD4" w:rsidRPr="00531BD3" w:rsidRDefault="008A4DD4" w:rsidP="008A4DD4">
      <w:pPr>
        <w:pStyle w:val="Ruller41"/>
        <w:rPr>
          <w:rtl/>
        </w:rPr>
      </w:pPr>
      <w:r w:rsidRPr="00531BD3">
        <w:rPr>
          <w:rtl/>
        </w:rPr>
        <w:tab/>
      </w:r>
      <w:r w:rsidRPr="00531BD3">
        <w:rPr>
          <w:rFonts w:hint="cs"/>
          <w:rtl/>
        </w:rPr>
        <w:t xml:space="preserve">(-) </w:t>
      </w:r>
      <w:r w:rsidRPr="00531BD3">
        <w:rPr>
          <w:rFonts w:ascii="Century" w:hAnsi="Century" w:cs="Miriam" w:hint="cs"/>
          <w:b/>
          <w:spacing w:val="0"/>
          <w:szCs w:val="24"/>
          <w:rtl/>
        </w:rPr>
        <w:t>אופי המסמכים שהודלפו</w:t>
      </w:r>
      <w:r w:rsidRPr="00531BD3">
        <w:rPr>
          <w:rFonts w:hint="cs"/>
          <w:rtl/>
        </w:rPr>
        <w:t xml:space="preserve">: על פי המפורט בכתב האישום, המסמכים שהודלפו בעסקת בזק-יס כללו לא רק חומרים שנועדו לחברי הוועדה בלבד, אלא גם חומרים שהוגדרו "חסויים" (פסקאות 115-114 לכתב האישום). מעבר לכך, באשר לתוכן המסמכים, בכתב האישום מפורט כי מדובר בהדלפת מסמכים הקשורים לנושאים מרכזיים שעמדו בלבו של המשא ומתן שהדלפתם עשויה לחתור תחת תכלית הקמת הוועדה. כך פורט בכתב האישום כי חלק מהעדכונים שקיבלו בעלי העניין ממשיבה 4 היו קשורים לליבת המשא ומתן, ובתוך כך טווח המחירים שיועצי הוועדה סברו כי הוא ראוי, התמורה המרבית הראויה וההצעה הכספית שתוצע בשלב ראשוני במשא ומתן, עדכונים בקשר לעמדת הוועדה בנושאי מס שהיו מהותיים במשא ומתן ועמדת יו"ר הוועדה באשר למתווה העסקה (סעיף 119 לכתב האישום). וכך, על פי האמור בכתב האישום, במידע שהודלף היה טמון יתרון תחרותי בכמה מובנים, הן בנוגע לעמדות שהוצגו בדיונים הפנימיים של הוועדה והן בנוגע לעמדתה של בזק בסוגיות מהותיות במשא ומתן (סעיף 122). גם לגבי עסקת יס-חלל תואר כי במידע שהודלף היה גלום יתרון תחרותי עבור חלל, הן בנוגע לבחירת מפעיל הלוויין שיתקשר בהסכם, והן בנוגע לתנאי העסקה. בהקשר זה צוין כי המסמכים שהודלפו כללו טיוטות שונות בהן פורטו המלצות לנקודות פתיחה למשא ומתן, לתנאים מסחריים וכלכליים שיש לכלול בחוזה ובמשא ומתן, פירוט של החלופות ובחינה שלהן, עלויות החלופות וקשיים אפשריים. זאת כאשר צוין על גבי מסמכים אלה כי חל איסור להעבירם מחוץ לבזק ויס ובעלי מניותיהן ללא אישור מראש ובכתב. כמו כן קיבלו </w:t>
      </w:r>
      <w:proofErr w:type="spellStart"/>
      <w:r w:rsidRPr="00531BD3">
        <w:rPr>
          <w:rFonts w:hint="cs"/>
          <w:rtl/>
        </w:rPr>
        <w:t>אלוביץ</w:t>
      </w:r>
      <w:proofErr w:type="spellEnd"/>
      <w:r w:rsidRPr="00531BD3">
        <w:rPr>
          <w:rFonts w:hint="cs"/>
          <w:rtl/>
        </w:rPr>
        <w:t>' ומשיב 2 ממשיבה 4 לוחות זמנים צפויים של הוועדה, תכניות עבודה ונושאים שנקבעו לדיון באופן שאִפשר להם להתוודע לטיב הנושאים שידונו באותו מועד ולזמן שיוקדש לכל נושא; וכן מידע נוסף הכולל עמדות שהובעו במהלך הדיונים בוועדה, טקטיקות פעולה, נקודות מחלוקת במשא ומתן, ניתוח של החלופות השונות ועוד (סעיפים 167-166 לכתב האישום).</w:t>
      </w:r>
    </w:p>
    <w:p w:rsidR="008A4DD4" w:rsidRPr="00531BD3" w:rsidRDefault="008A4DD4" w:rsidP="008A4DD4">
      <w:pPr>
        <w:pStyle w:val="Ruller41"/>
        <w:rPr>
          <w:rtl/>
        </w:rPr>
      </w:pPr>
    </w:p>
    <w:p w:rsidR="008A4DD4" w:rsidRPr="00531BD3" w:rsidRDefault="008A4DD4" w:rsidP="008A4DD4">
      <w:pPr>
        <w:pStyle w:val="Ruller41"/>
        <w:rPr>
          <w:rtl/>
        </w:rPr>
      </w:pPr>
      <w:r w:rsidRPr="00531BD3">
        <w:rPr>
          <w:rtl/>
        </w:rPr>
        <w:tab/>
      </w:r>
      <w:r w:rsidRPr="00531BD3">
        <w:rPr>
          <w:rFonts w:hint="cs"/>
          <w:rtl/>
        </w:rPr>
        <w:t xml:space="preserve">(-) </w:t>
      </w:r>
      <w:r w:rsidRPr="00531BD3">
        <w:rPr>
          <w:rFonts w:ascii="Century" w:hAnsi="Century" w:cs="Miriam" w:hint="cs"/>
          <w:b/>
          <w:spacing w:val="0"/>
          <w:szCs w:val="24"/>
          <w:rtl/>
        </w:rPr>
        <w:t>התנהלות מקבלי המידע וניסיונות הסתרה</w:t>
      </w:r>
      <w:r w:rsidRPr="00531BD3">
        <w:rPr>
          <w:rFonts w:hint="cs"/>
          <w:rtl/>
        </w:rPr>
        <w:t xml:space="preserve">: על פי האמור בכתב האישום, בשתי העסקאות המשיבים פעלו </w:t>
      </w:r>
      <w:r w:rsidRPr="00531BD3">
        <w:rPr>
          <w:rFonts w:ascii="Century" w:hAnsi="Century" w:hint="cs"/>
          <w:rtl/>
        </w:rPr>
        <w:t>להסתרת מעשיהם</w:t>
      </w:r>
      <w:r w:rsidRPr="00531BD3">
        <w:rPr>
          <w:rFonts w:hint="cs"/>
          <w:rtl/>
        </w:rPr>
        <w:t xml:space="preserve"> בדרכים שונות, כגון באמצעות שליחת הודעות דוא"ל נפרדות מאלה שבהן נשלחו המסמכים במקור לנמענים המורשים; אזהרות שנמסרו בעת הדלפת החומר לבל תיחשף העברתו; מחיקת התכתבויות בקשר להדלפה (בעסקת בזק-יס); הצגת מצגים כאילו </w:t>
      </w:r>
      <w:proofErr w:type="spellStart"/>
      <w:r w:rsidRPr="00531BD3">
        <w:rPr>
          <w:rFonts w:hint="cs"/>
          <w:rtl/>
        </w:rPr>
        <w:t>אלוביץ</w:t>
      </w:r>
      <w:proofErr w:type="spellEnd"/>
      <w:r w:rsidRPr="00531BD3">
        <w:rPr>
          <w:rFonts w:hint="cs"/>
          <w:rtl/>
        </w:rPr>
        <w:t>' ומשיב 2 אינם מודעים לחומרים המודלפים (בעסקת יס-חלל); ועוד (בנוגע לעסקת בזק-יס: סעיף 123 לכתב האישום; בנוגע לעסקת יס-חלל: סעיף 171 לכתב האישום).</w:t>
      </w:r>
    </w:p>
    <w:p w:rsidR="008A4DD4" w:rsidRPr="00531BD3" w:rsidRDefault="008A4DD4" w:rsidP="008A4DD4">
      <w:pPr>
        <w:pStyle w:val="Ruller41"/>
        <w:rPr>
          <w:rtl/>
        </w:rPr>
      </w:pPr>
    </w:p>
    <w:p w:rsidR="008A4DD4" w:rsidRPr="00531BD3" w:rsidRDefault="008A4DD4" w:rsidP="008A4DD4">
      <w:pPr>
        <w:pStyle w:val="Ruller41"/>
        <w:rPr>
          <w:rtl/>
        </w:rPr>
      </w:pPr>
      <w:r w:rsidRPr="00531BD3">
        <w:rPr>
          <w:rtl/>
        </w:rPr>
        <w:tab/>
      </w:r>
      <w:r w:rsidRPr="00531BD3">
        <w:rPr>
          <w:rFonts w:hint="cs"/>
          <w:rtl/>
        </w:rPr>
        <w:t xml:space="preserve">אם כן, בניגוד לקביעת בית המשפט המחוזי כי לא הוצגה בכתב האישום כל עובדה ממנה ניתן יהיה להסיק חובת סודיות </w:t>
      </w:r>
      <w:r w:rsidRPr="00531BD3">
        <w:rPr>
          <w:rtl/>
        </w:rPr>
        <w:t>–</w:t>
      </w:r>
      <w:r w:rsidRPr="00531BD3">
        <w:rPr>
          <w:rFonts w:hint="cs"/>
          <w:rtl/>
        </w:rPr>
        <w:t xml:space="preserve"> הרי שכתב האישום מפרט עובדות רבות אשר </w:t>
      </w:r>
      <w:r w:rsidRPr="00531BD3">
        <w:rPr>
          <w:rFonts w:ascii="Century" w:hAnsi="Century" w:cs="Miriam" w:hint="cs"/>
          <w:b/>
          <w:spacing w:val="0"/>
          <w:szCs w:val="24"/>
          <w:rtl/>
        </w:rPr>
        <w:t>אם יוכחו</w:t>
      </w:r>
      <w:r w:rsidRPr="00531BD3">
        <w:rPr>
          <w:rFonts w:hint="cs"/>
          <w:rtl/>
        </w:rPr>
        <w:t xml:space="preserve"> בבוא היום</w:t>
      </w:r>
      <w:r>
        <w:rPr>
          <w:rFonts w:hint="cs"/>
          <w:rtl/>
        </w:rPr>
        <w:t>,</w:t>
      </w:r>
      <w:r w:rsidRPr="00531BD3">
        <w:rPr>
          <w:rFonts w:hint="cs"/>
          <w:rtl/>
        </w:rPr>
        <w:t xml:space="preserve"> יש בכוחן הפוטנציאלי להביא למסקנה כי במקרה זה היה מצג ברור של סודיות אשר הופר על ידי המשיבים במרמה</w:t>
      </w:r>
      <w:r w:rsidR="00917043">
        <w:rPr>
          <w:rFonts w:hint="cs"/>
          <w:rtl/>
        </w:rPr>
        <w:t xml:space="preserve"> ותוך הפרת אמונים</w:t>
      </w:r>
      <w:r w:rsidRPr="00531BD3">
        <w:rPr>
          <w:rFonts w:hint="cs"/>
          <w:rtl/>
        </w:rPr>
        <w:t xml:space="preserve">.  </w:t>
      </w:r>
    </w:p>
    <w:p w:rsidR="008A4DD4" w:rsidRPr="00531BD3" w:rsidRDefault="008A4DD4" w:rsidP="008A4DD4">
      <w:pPr>
        <w:pStyle w:val="Ruller41"/>
        <w:rPr>
          <w:rtl/>
        </w:rPr>
      </w:pPr>
    </w:p>
    <w:p w:rsidR="008A4DD4" w:rsidRPr="00531BD3" w:rsidRDefault="008A4DD4" w:rsidP="008A4DD4">
      <w:pPr>
        <w:pStyle w:val="Ruller4"/>
        <w:rPr>
          <w:rtl/>
        </w:rPr>
      </w:pPr>
      <w:r w:rsidRPr="00531BD3">
        <w:rPr>
          <w:rFonts w:hint="cs"/>
          <w:rtl/>
        </w:rPr>
        <w:t xml:space="preserve">אכן, בית המשפט המחוזי הצביע על עובדות אחרות בכתב האישום אשר מצביעות לשיטתו על כך שהחברות עצמן </w:t>
      </w:r>
      <w:r w:rsidRPr="00C41C8E">
        <w:rPr>
          <w:rFonts w:ascii="Century" w:hAnsi="Century" w:hint="cs"/>
          <w:sz w:val="22"/>
          <w:rtl/>
        </w:rPr>
        <w:t>לא התייחסו</w:t>
      </w:r>
      <w:r w:rsidRPr="00C41C8E">
        <w:rPr>
          <w:rFonts w:hint="cs"/>
          <w:rtl/>
        </w:rPr>
        <w:t xml:space="preserve"> </w:t>
      </w:r>
      <w:r w:rsidRPr="00531BD3">
        <w:rPr>
          <w:rFonts w:hint="cs"/>
          <w:rtl/>
        </w:rPr>
        <w:t xml:space="preserve">אל המידע כאל סודי. האחת, כי כאשר סברו חברי הוועדה, לגבי עסקת בזק-יס, שמדובר במידע רגיש, הם דנו בו בישיבות בהן היו נוכחים חברי הוועדה בלבד; והשנייה, לגבי עסקת יס-חלל, כי טיוטות חוות דעת היועץ שיועדו לוועדה המיוחדת הועברו גם לגורמים נוספים ביס או בחלל, ללא ידיעת הוועדה וללא אישורה. אולם אין בעובדות אלה כדי להביא למסקנה </w:t>
      </w:r>
      <w:r w:rsidRPr="00531BD3">
        <w:rPr>
          <w:rtl/>
        </w:rPr>
        <w:t>–</w:t>
      </w:r>
      <w:r w:rsidRPr="00531BD3">
        <w:rPr>
          <w:rFonts w:hint="cs"/>
          <w:rtl/>
        </w:rPr>
        <w:t xml:space="preserve"> בוודאי לא במידה הנחרצת הנדרשת בשלב הנוכחי </w:t>
      </w:r>
      <w:r w:rsidRPr="00531BD3">
        <w:rPr>
          <w:rtl/>
        </w:rPr>
        <w:t>–</w:t>
      </w:r>
      <w:r w:rsidRPr="00531BD3">
        <w:rPr>
          <w:rFonts w:hint="cs"/>
          <w:rtl/>
        </w:rPr>
        <w:t xml:space="preserve"> כי עובדות כתב האישום אינן מגלות עבירה. </w:t>
      </w:r>
    </w:p>
    <w:p w:rsidR="008A4DD4" w:rsidRPr="00531BD3" w:rsidRDefault="008A4DD4" w:rsidP="008A4DD4">
      <w:pPr>
        <w:pStyle w:val="Ruller41"/>
        <w:rPr>
          <w:rtl/>
        </w:rPr>
      </w:pPr>
    </w:p>
    <w:p w:rsidR="008A4DD4" w:rsidRPr="00531BD3" w:rsidRDefault="008A4DD4" w:rsidP="008A4DD4">
      <w:pPr>
        <w:pStyle w:val="Ruller41"/>
        <w:rPr>
          <w:rtl/>
        </w:rPr>
      </w:pPr>
      <w:r w:rsidRPr="00531BD3">
        <w:rPr>
          <w:rtl/>
        </w:rPr>
        <w:tab/>
      </w:r>
      <w:r w:rsidRPr="00531BD3">
        <w:rPr>
          <w:rFonts w:hint="cs"/>
          <w:rtl/>
        </w:rPr>
        <w:t xml:space="preserve">ראשית, בנוגע לקביעה שרק דיונים שכללו מידע רגיש נוהלו בפורום מצומצם, וכי בישיבות כאלו היו נוכחים חברי הוועדה בלבד, הרי שעל פי עובדות כתב האישום, "דיוני הוועדה והפרוטוקולים שנערכו בעקבותיהם נועדו לעיני המשתתפים בהם בלבד" (סעיף 114). היינו, </w:t>
      </w:r>
      <w:r w:rsidRPr="00531BD3">
        <w:rPr>
          <w:rFonts w:ascii="Century" w:hAnsi="Century" w:cs="Miriam" w:hint="cs"/>
          <w:b/>
          <w:spacing w:val="0"/>
          <w:szCs w:val="24"/>
          <w:rtl/>
        </w:rPr>
        <w:t>כלל הדיונים</w:t>
      </w:r>
      <w:r w:rsidRPr="00531BD3">
        <w:rPr>
          <w:rFonts w:hint="cs"/>
          <w:rtl/>
        </w:rPr>
        <w:t xml:space="preserve"> נועדו לעיני המשתתפים בלבד. אכן, חלק מהדיונים כללו גם "חלקים חסויים שנערכו בפורום מצומצם", אולם בכתב האישום מצוין באופן מפורש כי משיבה 4 נכחה גם בחלקים החסויים של הדיון ובכל מקרה עצם העובדה שחלק מהדיונים היו חסויים ונאסרה השתתפותם של משתתפים חיצוניים שונים בהם, אין משמעותה כי לא נדרש מבעלי העניין לשמור על ההפרדה המתבקשת בינם לבין עבודת הוועדה תוך הקפדה על סודיות החומרים, אם כאמור אכן כך הדבר. </w:t>
      </w:r>
    </w:p>
    <w:p w:rsidR="008A4DD4" w:rsidRPr="00531BD3" w:rsidRDefault="008A4DD4" w:rsidP="008A4DD4">
      <w:pPr>
        <w:pStyle w:val="Ruller41"/>
        <w:rPr>
          <w:rtl/>
        </w:rPr>
      </w:pPr>
    </w:p>
    <w:p w:rsidR="008A4DD4" w:rsidRPr="00531BD3" w:rsidRDefault="008A4DD4" w:rsidP="008A4DD4">
      <w:pPr>
        <w:pStyle w:val="Ruller41"/>
        <w:rPr>
          <w:rtl/>
        </w:rPr>
      </w:pPr>
      <w:r w:rsidRPr="00531BD3">
        <w:rPr>
          <w:rtl/>
        </w:rPr>
        <w:tab/>
      </w:r>
      <w:r w:rsidRPr="00531BD3">
        <w:rPr>
          <w:rFonts w:hint="cs"/>
          <w:rtl/>
        </w:rPr>
        <w:t xml:space="preserve">ושנית, לגבי העובדה שטיוטות שונות הועברו גם לגורמים נוספים ביס או בחלל (כמפורט בסעיף 166(א) לכתב האישום). בהתחשב בתמונה הכללית הרחבה המוצגת </w:t>
      </w:r>
      <w:r w:rsidRPr="00531BD3">
        <w:rPr>
          <w:rFonts w:hint="cs"/>
          <w:rtl/>
        </w:rPr>
        <w:lastRenderedPageBreak/>
        <w:t>בכתב האישום, העובדה שנמסרו במקרים מסוימים טיוטות נוספות לגורמים שונים אינה בהכרח מאיינת את המסקנה שניתן להסיק ממכלול העובדות המפורטות בכתב האישום בדבר קיומה של חובת סודיות. הדבר תלוי למשל בתדירות והיקף התופעה, נתונים שלא ניתן לאומדם טרם בחינה ראייתית.</w:t>
      </w:r>
    </w:p>
    <w:p w:rsidR="008A4DD4" w:rsidRPr="00531BD3" w:rsidRDefault="008A4DD4" w:rsidP="008A4DD4">
      <w:pPr>
        <w:pStyle w:val="Ruller41"/>
        <w:rPr>
          <w:rtl/>
        </w:rPr>
      </w:pPr>
    </w:p>
    <w:p w:rsidR="008A4DD4" w:rsidRPr="00531BD3" w:rsidRDefault="008A4DD4" w:rsidP="008A4DD4">
      <w:pPr>
        <w:pStyle w:val="Ruller4"/>
        <w:rPr>
          <w:rtl/>
        </w:rPr>
      </w:pPr>
      <w:r w:rsidRPr="00531BD3">
        <w:rPr>
          <w:rFonts w:hint="cs"/>
          <w:rtl/>
        </w:rPr>
        <w:t xml:space="preserve">מכל מקום, תשובה לשאלה האם הדלפת המידע נעשתה במרמה </w:t>
      </w:r>
      <w:r w:rsidR="00917043">
        <w:rPr>
          <w:rFonts w:hint="cs"/>
          <w:rtl/>
        </w:rPr>
        <w:t xml:space="preserve">תוך הפרת אמונים </w:t>
      </w:r>
      <w:r w:rsidRPr="00531BD3">
        <w:rPr>
          <w:rFonts w:hint="cs"/>
          <w:rtl/>
        </w:rPr>
        <w:t xml:space="preserve">בהתחשב בעובדות שפורטו בכתב האישום תלויה בהיקף חומר הראיות אשר אמור לבסס עובדות אלו ובעוצמת הראיות. אך את המסקנה כי מכלול עובדות אלו </w:t>
      </w:r>
      <w:r w:rsidRPr="00531BD3">
        <w:rPr>
          <w:rFonts w:ascii="Century" w:hAnsi="Century" w:cs="Miriam" w:hint="cs"/>
          <w:b/>
          <w:spacing w:val="0"/>
          <w:sz w:val="22"/>
          <w:szCs w:val="24"/>
          <w:rtl/>
        </w:rPr>
        <w:t>בהכרח</w:t>
      </w:r>
      <w:r w:rsidRPr="00531BD3">
        <w:rPr>
          <w:rFonts w:hint="cs"/>
          <w:rtl/>
        </w:rPr>
        <w:t xml:space="preserve"> אינו יכול להצביע על כך, קשה לקבל.</w:t>
      </w:r>
    </w:p>
    <w:p w:rsidR="008A4DD4" w:rsidRPr="00531BD3" w:rsidRDefault="008A4DD4" w:rsidP="008A4DD4">
      <w:pPr>
        <w:pStyle w:val="Ruller41"/>
        <w:rPr>
          <w:rtl/>
        </w:rPr>
      </w:pPr>
    </w:p>
    <w:p w:rsidR="008A4DD4" w:rsidRPr="00531BD3" w:rsidRDefault="008A4DD4" w:rsidP="008A4DD4">
      <w:pPr>
        <w:pStyle w:val="Ruller4"/>
      </w:pPr>
      <w:r>
        <w:rPr>
          <w:rFonts w:ascii="Century" w:hAnsi="Century" w:hint="cs"/>
          <w:sz w:val="22"/>
          <w:rtl/>
        </w:rPr>
        <w:t xml:space="preserve">יש להוסיף </w:t>
      </w:r>
      <w:r w:rsidRPr="00531BD3">
        <w:rPr>
          <w:rFonts w:ascii="Century" w:hAnsi="Century" w:hint="eastAsia"/>
          <w:sz w:val="22"/>
          <w:rtl/>
        </w:rPr>
        <w:t>כי</w:t>
      </w:r>
      <w:r w:rsidRPr="00531BD3">
        <w:rPr>
          <w:rFonts w:ascii="Century" w:hAnsi="Century"/>
          <w:sz w:val="22"/>
          <w:rtl/>
        </w:rPr>
        <w:t xml:space="preserve"> </w:t>
      </w:r>
      <w:r w:rsidRPr="00531BD3">
        <w:rPr>
          <w:rFonts w:ascii="Century" w:hAnsi="Century" w:hint="eastAsia"/>
          <w:sz w:val="22"/>
          <w:rtl/>
        </w:rPr>
        <w:t>בניגוד</w:t>
      </w:r>
      <w:r w:rsidRPr="00531BD3">
        <w:rPr>
          <w:rFonts w:ascii="Century" w:hAnsi="Century"/>
          <w:sz w:val="22"/>
          <w:rtl/>
        </w:rPr>
        <w:t xml:space="preserve"> </w:t>
      </w:r>
      <w:r w:rsidRPr="00531BD3">
        <w:rPr>
          <w:rFonts w:ascii="Century" w:hAnsi="Century" w:hint="eastAsia"/>
          <w:sz w:val="22"/>
          <w:rtl/>
        </w:rPr>
        <w:t>לקביעת</w:t>
      </w:r>
      <w:r w:rsidRPr="00531BD3">
        <w:rPr>
          <w:rFonts w:ascii="Century" w:hAnsi="Century"/>
          <w:sz w:val="22"/>
          <w:rtl/>
        </w:rPr>
        <w:t xml:space="preserve"> </w:t>
      </w:r>
      <w:r w:rsidRPr="00531BD3">
        <w:rPr>
          <w:rFonts w:ascii="Century" w:hAnsi="Century" w:hint="eastAsia"/>
          <w:sz w:val="22"/>
          <w:rtl/>
        </w:rPr>
        <w:t>בית</w:t>
      </w:r>
      <w:r w:rsidRPr="00531BD3">
        <w:rPr>
          <w:rFonts w:ascii="Century" w:hAnsi="Century"/>
          <w:sz w:val="22"/>
          <w:rtl/>
        </w:rPr>
        <w:t xml:space="preserve"> </w:t>
      </w:r>
      <w:r w:rsidRPr="00531BD3">
        <w:rPr>
          <w:rFonts w:ascii="Century" w:hAnsi="Century" w:hint="eastAsia"/>
          <w:sz w:val="22"/>
          <w:rtl/>
        </w:rPr>
        <w:t>המשפט</w:t>
      </w:r>
      <w:r w:rsidRPr="00531BD3">
        <w:rPr>
          <w:rFonts w:ascii="Century" w:hAnsi="Century"/>
          <w:sz w:val="22"/>
          <w:rtl/>
        </w:rPr>
        <w:t xml:space="preserve"> </w:t>
      </w:r>
      <w:r w:rsidRPr="00531BD3">
        <w:rPr>
          <w:rFonts w:ascii="Century" w:hAnsi="Century" w:hint="eastAsia"/>
          <w:sz w:val="22"/>
          <w:rtl/>
        </w:rPr>
        <w:t>המחוזי</w:t>
      </w:r>
      <w:r w:rsidRPr="00531BD3">
        <w:rPr>
          <w:rFonts w:ascii="Century" w:hAnsi="Century"/>
          <w:sz w:val="22"/>
          <w:rtl/>
        </w:rPr>
        <w:t xml:space="preserve">, </w:t>
      </w:r>
      <w:r w:rsidRPr="00531BD3">
        <w:rPr>
          <w:rFonts w:ascii="Century" w:hAnsi="Century" w:hint="eastAsia"/>
          <w:sz w:val="22"/>
          <w:rtl/>
        </w:rPr>
        <w:t>הרי</w:t>
      </w:r>
      <w:r w:rsidRPr="00531BD3">
        <w:rPr>
          <w:rFonts w:ascii="Century" w:hAnsi="Century"/>
          <w:sz w:val="22"/>
          <w:rtl/>
        </w:rPr>
        <w:t xml:space="preserve"> </w:t>
      </w:r>
      <w:r w:rsidRPr="00531BD3">
        <w:rPr>
          <w:rFonts w:ascii="Century" w:hAnsi="Century" w:hint="cs"/>
          <w:sz w:val="22"/>
          <w:rtl/>
        </w:rPr>
        <w:t xml:space="preserve">שעל פי כתב האישום נעשה </w:t>
      </w:r>
      <w:r w:rsidRPr="00531BD3">
        <w:rPr>
          <w:rFonts w:ascii="Century" w:hAnsi="Century" w:cs="Miriam" w:hint="cs"/>
          <w:b/>
          <w:spacing w:val="0"/>
          <w:sz w:val="22"/>
          <w:szCs w:val="24"/>
          <w:rtl/>
        </w:rPr>
        <w:t>שימוש מעשי במסמכים</w:t>
      </w:r>
      <w:r w:rsidRPr="00531BD3">
        <w:rPr>
          <w:rFonts w:hint="cs"/>
          <w:rtl/>
        </w:rPr>
        <w:t xml:space="preserve"> לצורך השפעה על המשא ומתן שהתנהל באותה עת. כך לגבי עסקת בזק-יס פורט כי בעלי העניין עשו שימוש בהדלפות לטובת קבוצת יורוקום והעבירו את המידע לגורמים שעבדו עם קבוצות יורוקום וייעצו לה על מנת שיוכלו להשתמש בו במשא ומתן (סעיפים 116 ו-122 לכתב האישום). וכן לגבי עסקת יס-חלל הובהר כי על יסוד המידע שהודלף, נהגו </w:t>
      </w:r>
      <w:proofErr w:type="spellStart"/>
      <w:r w:rsidRPr="00531BD3">
        <w:rPr>
          <w:rFonts w:hint="cs"/>
          <w:rtl/>
        </w:rPr>
        <w:t>אלוביץ</w:t>
      </w:r>
      <w:proofErr w:type="spellEnd"/>
      <w:r w:rsidRPr="00531BD3">
        <w:rPr>
          <w:rFonts w:hint="cs"/>
          <w:rtl/>
        </w:rPr>
        <w:t xml:space="preserve">' ומשיב 2 לדון עם משיבה 4 על דרכי פעולה אפשריות ואף להנחות אותה לעתים כיצד לפעול על מנת להשפיע על החלטות הוועדה (סעיפים 170-168 לכתב האישום). </w:t>
      </w:r>
    </w:p>
    <w:p w:rsidR="008A4DD4" w:rsidRPr="00531BD3" w:rsidRDefault="008A4DD4" w:rsidP="008A4DD4">
      <w:pPr>
        <w:pStyle w:val="Ruller41"/>
        <w:rPr>
          <w:rtl/>
        </w:rPr>
      </w:pPr>
    </w:p>
    <w:p w:rsidR="008A4DD4" w:rsidRPr="00531BD3" w:rsidRDefault="008A4DD4" w:rsidP="008A4DD4">
      <w:pPr>
        <w:pStyle w:val="Ruller4"/>
        <w:rPr>
          <w:rtl/>
        </w:rPr>
      </w:pPr>
      <w:r w:rsidRPr="00531BD3">
        <w:rPr>
          <w:rFonts w:hint="cs"/>
          <w:rtl/>
        </w:rPr>
        <w:t>כמו כן, אין חולק כי מדובר בענייננו בחברות המספקות שירות לציבור (הן חברת בזק והן חברת יס), ומכאן כאמור כי אין הכרח בקיומה של פגיעה כלכלית-ממונית כדי למלא אחר רכיב "הפגיעה בתאגיד" הנדרש לצורך הרשעה בסעיף זה</w:t>
      </w:r>
      <w:r w:rsidRPr="00531BD3">
        <w:rPr>
          <w:rtl/>
        </w:rPr>
        <w:t xml:space="preserve">. </w:t>
      </w:r>
      <w:r w:rsidRPr="00531BD3">
        <w:rPr>
          <w:rFonts w:hint="eastAsia"/>
          <w:rtl/>
        </w:rPr>
        <w:t>פגיעה</w:t>
      </w:r>
      <w:r w:rsidRPr="00531BD3">
        <w:rPr>
          <w:rFonts w:hint="cs"/>
          <w:rtl/>
        </w:rPr>
        <w:t xml:space="preserve"> כאמור יכולה לבוא לידי ביטוי למשל "</w:t>
      </w:r>
      <w:r w:rsidRPr="00531BD3">
        <w:rPr>
          <w:rFonts w:hint="eastAsia"/>
          <w:rtl/>
        </w:rPr>
        <w:t>בשלילת</w:t>
      </w:r>
      <w:r w:rsidRPr="00531BD3">
        <w:rPr>
          <w:rtl/>
        </w:rPr>
        <w:t xml:space="preserve"> </w:t>
      </w:r>
      <w:r w:rsidRPr="00531BD3">
        <w:rPr>
          <w:rFonts w:hint="eastAsia"/>
          <w:rtl/>
        </w:rPr>
        <w:t>עובדות</w:t>
      </w:r>
      <w:r w:rsidRPr="00531BD3">
        <w:rPr>
          <w:rtl/>
        </w:rPr>
        <w:t xml:space="preserve"> </w:t>
      </w:r>
      <w:r w:rsidRPr="00531BD3">
        <w:rPr>
          <w:rFonts w:hint="eastAsia"/>
          <w:rtl/>
        </w:rPr>
        <w:t>מחברי</w:t>
      </w:r>
      <w:r w:rsidRPr="00531BD3">
        <w:rPr>
          <w:rtl/>
        </w:rPr>
        <w:t xml:space="preserve"> </w:t>
      </w:r>
      <w:r w:rsidRPr="00531BD3">
        <w:rPr>
          <w:rFonts w:hint="eastAsia"/>
          <w:rtl/>
        </w:rPr>
        <w:t>התאגיד</w:t>
      </w:r>
      <w:r w:rsidRPr="00531BD3">
        <w:rPr>
          <w:rtl/>
        </w:rPr>
        <w:t xml:space="preserve">, </w:t>
      </w:r>
      <w:r w:rsidRPr="00531BD3">
        <w:rPr>
          <w:rFonts w:hint="eastAsia"/>
          <w:rtl/>
        </w:rPr>
        <w:t>בהצגת</w:t>
      </w:r>
      <w:r w:rsidRPr="00531BD3">
        <w:rPr>
          <w:rtl/>
        </w:rPr>
        <w:t xml:space="preserve"> </w:t>
      </w:r>
      <w:r w:rsidRPr="00531BD3">
        <w:rPr>
          <w:rFonts w:hint="eastAsia"/>
          <w:rtl/>
        </w:rPr>
        <w:t>עובדות</w:t>
      </w:r>
      <w:r w:rsidRPr="00531BD3">
        <w:rPr>
          <w:rtl/>
        </w:rPr>
        <w:t xml:space="preserve"> </w:t>
      </w:r>
      <w:r w:rsidRPr="00531BD3">
        <w:rPr>
          <w:rFonts w:hint="eastAsia"/>
          <w:rtl/>
        </w:rPr>
        <w:t>המעוותות</w:t>
      </w:r>
      <w:r w:rsidRPr="00531BD3">
        <w:rPr>
          <w:rtl/>
        </w:rPr>
        <w:t xml:space="preserve"> </w:t>
      </w:r>
      <w:r w:rsidRPr="00531BD3">
        <w:rPr>
          <w:rFonts w:hint="eastAsia"/>
          <w:rtl/>
        </w:rPr>
        <w:t>את</w:t>
      </w:r>
      <w:r w:rsidRPr="00531BD3">
        <w:rPr>
          <w:rtl/>
        </w:rPr>
        <w:t xml:space="preserve"> </w:t>
      </w:r>
      <w:r w:rsidRPr="00531BD3">
        <w:rPr>
          <w:rFonts w:hint="eastAsia"/>
          <w:rtl/>
        </w:rPr>
        <w:t>המצב</w:t>
      </w:r>
      <w:r w:rsidRPr="00531BD3">
        <w:rPr>
          <w:rtl/>
        </w:rPr>
        <w:t xml:space="preserve"> </w:t>
      </w:r>
      <w:r w:rsidRPr="00531BD3">
        <w:rPr>
          <w:rFonts w:hint="eastAsia"/>
          <w:rtl/>
        </w:rPr>
        <w:t>הנכון</w:t>
      </w:r>
      <w:r w:rsidRPr="00531BD3">
        <w:rPr>
          <w:rtl/>
        </w:rPr>
        <w:t xml:space="preserve"> </w:t>
      </w:r>
      <w:r w:rsidRPr="00531BD3">
        <w:rPr>
          <w:rFonts w:hint="eastAsia"/>
          <w:rtl/>
        </w:rPr>
        <w:t>של</w:t>
      </w:r>
      <w:r w:rsidRPr="00531BD3">
        <w:rPr>
          <w:rtl/>
        </w:rPr>
        <w:t xml:space="preserve"> </w:t>
      </w:r>
      <w:r w:rsidRPr="00531BD3">
        <w:rPr>
          <w:rFonts w:hint="eastAsia"/>
          <w:rtl/>
        </w:rPr>
        <w:t>התאגיד</w:t>
      </w:r>
      <w:r w:rsidRPr="00531BD3">
        <w:rPr>
          <w:rtl/>
        </w:rPr>
        <w:t xml:space="preserve"> </w:t>
      </w:r>
      <w:r w:rsidRPr="00531BD3">
        <w:rPr>
          <w:rFonts w:hint="eastAsia"/>
          <w:rtl/>
        </w:rPr>
        <w:t>ובערעור</w:t>
      </w:r>
      <w:r w:rsidRPr="00531BD3">
        <w:rPr>
          <w:rtl/>
        </w:rPr>
        <w:t xml:space="preserve"> </w:t>
      </w:r>
      <w:r w:rsidRPr="00531BD3">
        <w:rPr>
          <w:rFonts w:hint="eastAsia"/>
          <w:rtl/>
        </w:rPr>
        <w:t>תדמיתו</w:t>
      </w:r>
      <w:r w:rsidRPr="00531BD3">
        <w:rPr>
          <w:rtl/>
        </w:rPr>
        <w:t xml:space="preserve"> </w:t>
      </w:r>
      <w:r w:rsidRPr="00531BD3">
        <w:rPr>
          <w:rFonts w:hint="eastAsia"/>
          <w:rtl/>
        </w:rPr>
        <w:t>של</w:t>
      </w:r>
      <w:r w:rsidRPr="00531BD3">
        <w:rPr>
          <w:rtl/>
        </w:rPr>
        <w:t xml:space="preserve"> </w:t>
      </w:r>
      <w:r w:rsidRPr="00531BD3">
        <w:rPr>
          <w:rFonts w:hint="eastAsia"/>
          <w:rtl/>
        </w:rPr>
        <w:t>התאגיד</w:t>
      </w:r>
      <w:r w:rsidRPr="00531BD3">
        <w:rPr>
          <w:rtl/>
        </w:rPr>
        <w:t xml:space="preserve"> </w:t>
      </w:r>
      <w:r w:rsidRPr="00531BD3">
        <w:rPr>
          <w:rFonts w:hint="eastAsia"/>
          <w:rtl/>
        </w:rPr>
        <w:t>ומידת</w:t>
      </w:r>
      <w:r w:rsidRPr="00531BD3">
        <w:rPr>
          <w:rtl/>
        </w:rPr>
        <w:t xml:space="preserve"> </w:t>
      </w:r>
      <w:r w:rsidRPr="00531BD3">
        <w:rPr>
          <w:rFonts w:hint="eastAsia"/>
          <w:rtl/>
        </w:rPr>
        <w:t>הרצינות</w:t>
      </w:r>
      <w:r w:rsidRPr="00531BD3">
        <w:rPr>
          <w:rtl/>
        </w:rPr>
        <w:t xml:space="preserve"> </w:t>
      </w:r>
      <w:r w:rsidRPr="00531BD3">
        <w:rPr>
          <w:rFonts w:hint="eastAsia"/>
          <w:rtl/>
        </w:rPr>
        <w:t>שהציבור</w:t>
      </w:r>
      <w:r w:rsidRPr="00531BD3">
        <w:rPr>
          <w:rtl/>
        </w:rPr>
        <w:t xml:space="preserve"> </w:t>
      </w:r>
      <w:r w:rsidRPr="00531BD3">
        <w:rPr>
          <w:rFonts w:hint="eastAsia"/>
          <w:rtl/>
        </w:rPr>
        <w:t>ירחש</w:t>
      </w:r>
      <w:r w:rsidRPr="00531BD3">
        <w:rPr>
          <w:rtl/>
        </w:rPr>
        <w:t xml:space="preserve"> </w:t>
      </w:r>
      <w:r w:rsidRPr="00531BD3">
        <w:rPr>
          <w:rFonts w:hint="eastAsia"/>
          <w:rtl/>
        </w:rPr>
        <w:t>אליו</w:t>
      </w:r>
      <w:r w:rsidRPr="00531BD3">
        <w:rPr>
          <w:rtl/>
        </w:rPr>
        <w:t>..." (</w:t>
      </w:r>
      <w:r w:rsidRPr="00531BD3">
        <w:rPr>
          <w:rFonts w:hint="eastAsia"/>
          <w:rtl/>
        </w:rPr>
        <w:t>ע</w:t>
      </w:r>
      <w:r w:rsidRPr="00531BD3">
        <w:rPr>
          <w:rtl/>
        </w:rPr>
        <w:t>"</w:t>
      </w:r>
      <w:r w:rsidRPr="00531BD3">
        <w:rPr>
          <w:rFonts w:hint="eastAsia"/>
          <w:rtl/>
        </w:rPr>
        <w:t>פ</w:t>
      </w:r>
      <w:r w:rsidRPr="00531BD3">
        <w:rPr>
          <w:rtl/>
        </w:rPr>
        <w:t xml:space="preserve"> 281/82 </w:t>
      </w:r>
      <w:r w:rsidRPr="00531BD3">
        <w:rPr>
          <w:rFonts w:ascii="Century" w:hAnsi="Century" w:cs="Miriam" w:hint="eastAsia"/>
          <w:b/>
          <w:spacing w:val="0"/>
          <w:sz w:val="22"/>
          <w:szCs w:val="24"/>
          <w:rtl/>
        </w:rPr>
        <w:t>אבו</w:t>
      </w:r>
      <w:r w:rsidRPr="00531BD3">
        <w:rPr>
          <w:rFonts w:ascii="Century" w:hAnsi="Century" w:cs="Miriam"/>
          <w:b/>
          <w:spacing w:val="0"/>
          <w:sz w:val="22"/>
          <w:szCs w:val="24"/>
          <w:rtl/>
        </w:rPr>
        <w:t xml:space="preserve"> </w:t>
      </w:r>
      <w:proofErr w:type="spellStart"/>
      <w:r w:rsidRPr="00531BD3">
        <w:rPr>
          <w:rFonts w:ascii="Century" w:hAnsi="Century" w:cs="Miriam" w:hint="eastAsia"/>
          <w:b/>
          <w:spacing w:val="0"/>
          <w:sz w:val="22"/>
          <w:szCs w:val="24"/>
          <w:rtl/>
        </w:rPr>
        <w:t>חצירא</w:t>
      </w:r>
      <w:proofErr w:type="spellEnd"/>
      <w:r w:rsidRPr="00531BD3">
        <w:rPr>
          <w:rFonts w:ascii="Century" w:hAnsi="Century" w:cs="Miriam"/>
          <w:b/>
          <w:spacing w:val="0"/>
          <w:sz w:val="22"/>
          <w:szCs w:val="24"/>
          <w:rtl/>
        </w:rPr>
        <w:t xml:space="preserve"> </w:t>
      </w:r>
      <w:r w:rsidRPr="00531BD3">
        <w:rPr>
          <w:rFonts w:ascii="Century" w:hAnsi="Century" w:cs="Miriam" w:hint="eastAsia"/>
          <w:b/>
          <w:spacing w:val="0"/>
          <w:sz w:val="22"/>
          <w:szCs w:val="24"/>
          <w:rtl/>
        </w:rPr>
        <w:t>נ</w:t>
      </w:r>
      <w:r w:rsidRPr="00531BD3">
        <w:rPr>
          <w:rFonts w:ascii="Century" w:hAnsi="Century" w:cs="Miriam"/>
          <w:b/>
          <w:spacing w:val="0"/>
          <w:sz w:val="22"/>
          <w:szCs w:val="24"/>
          <w:rtl/>
        </w:rPr>
        <w:t xml:space="preserve">' </w:t>
      </w:r>
      <w:r w:rsidRPr="00531BD3">
        <w:rPr>
          <w:rFonts w:ascii="Century" w:hAnsi="Century" w:cs="Miriam" w:hint="eastAsia"/>
          <w:b/>
          <w:spacing w:val="0"/>
          <w:sz w:val="22"/>
          <w:szCs w:val="24"/>
          <w:rtl/>
        </w:rPr>
        <w:t>מדינת</w:t>
      </w:r>
      <w:r w:rsidRPr="00531BD3">
        <w:rPr>
          <w:rFonts w:ascii="Century" w:hAnsi="Century" w:cs="Miriam"/>
          <w:b/>
          <w:spacing w:val="0"/>
          <w:sz w:val="22"/>
          <w:szCs w:val="24"/>
          <w:rtl/>
        </w:rPr>
        <w:t xml:space="preserve"> </w:t>
      </w:r>
      <w:r w:rsidRPr="00531BD3">
        <w:rPr>
          <w:rFonts w:ascii="Century" w:hAnsi="Century" w:cs="Miriam" w:hint="eastAsia"/>
          <w:b/>
          <w:spacing w:val="0"/>
          <w:sz w:val="22"/>
          <w:szCs w:val="24"/>
          <w:rtl/>
        </w:rPr>
        <w:t>ישראל</w:t>
      </w:r>
      <w:r w:rsidRPr="00531BD3">
        <w:rPr>
          <w:rtl/>
        </w:rPr>
        <w:t xml:space="preserve">, </w:t>
      </w:r>
      <w:r w:rsidRPr="00531BD3">
        <w:rPr>
          <w:rFonts w:hint="eastAsia"/>
          <w:rtl/>
        </w:rPr>
        <w:t>פ</w:t>
      </w:r>
      <w:r w:rsidRPr="00531BD3">
        <w:rPr>
          <w:rtl/>
        </w:rPr>
        <w:t>"</w:t>
      </w:r>
      <w:r w:rsidRPr="00531BD3">
        <w:rPr>
          <w:rFonts w:hint="eastAsia"/>
          <w:rtl/>
        </w:rPr>
        <w:t>ד</w:t>
      </w:r>
      <w:r w:rsidRPr="00531BD3">
        <w:rPr>
          <w:rtl/>
        </w:rPr>
        <w:t xml:space="preserve"> </w:t>
      </w:r>
      <w:proofErr w:type="spellStart"/>
      <w:r w:rsidRPr="00531BD3">
        <w:rPr>
          <w:rFonts w:hint="eastAsia"/>
          <w:rtl/>
        </w:rPr>
        <w:t>לז</w:t>
      </w:r>
      <w:proofErr w:type="spellEnd"/>
      <w:r w:rsidRPr="00531BD3">
        <w:rPr>
          <w:rtl/>
        </w:rPr>
        <w:t xml:space="preserve">(3) 673, 714 (1983)). </w:t>
      </w:r>
      <w:r w:rsidRPr="00531BD3">
        <w:rPr>
          <w:rFonts w:hint="eastAsia"/>
          <w:rtl/>
        </w:rPr>
        <w:t>בית</w:t>
      </w:r>
      <w:r w:rsidRPr="00531BD3">
        <w:rPr>
          <w:rtl/>
        </w:rPr>
        <w:t xml:space="preserve"> </w:t>
      </w:r>
      <w:r w:rsidRPr="00531BD3">
        <w:rPr>
          <w:rFonts w:hint="eastAsia"/>
          <w:rtl/>
        </w:rPr>
        <w:t>המשפט</w:t>
      </w:r>
      <w:r w:rsidRPr="00531BD3">
        <w:rPr>
          <w:rtl/>
        </w:rPr>
        <w:t xml:space="preserve"> </w:t>
      </w:r>
      <w:r w:rsidRPr="00531BD3">
        <w:rPr>
          <w:rFonts w:hint="eastAsia"/>
          <w:rtl/>
        </w:rPr>
        <w:t>המחוזי</w:t>
      </w:r>
      <w:r w:rsidRPr="00531BD3">
        <w:rPr>
          <w:rtl/>
        </w:rPr>
        <w:t xml:space="preserve"> </w:t>
      </w:r>
      <w:r w:rsidRPr="00531BD3">
        <w:rPr>
          <w:rFonts w:hint="eastAsia"/>
          <w:rtl/>
        </w:rPr>
        <w:t>קבע</w:t>
      </w:r>
      <w:r w:rsidRPr="00531BD3">
        <w:rPr>
          <w:rtl/>
        </w:rPr>
        <w:t xml:space="preserve"> </w:t>
      </w:r>
      <w:r w:rsidRPr="00531BD3">
        <w:rPr>
          <w:rFonts w:hint="eastAsia"/>
          <w:rtl/>
        </w:rPr>
        <w:t>כי</w:t>
      </w:r>
      <w:r w:rsidRPr="00531BD3">
        <w:rPr>
          <w:rtl/>
        </w:rPr>
        <w:t xml:space="preserve"> </w:t>
      </w:r>
      <w:r w:rsidRPr="00531BD3">
        <w:rPr>
          <w:rFonts w:hint="eastAsia"/>
          <w:rtl/>
        </w:rPr>
        <w:t>הטענה</w:t>
      </w:r>
      <w:r w:rsidRPr="00531BD3">
        <w:rPr>
          <w:rtl/>
        </w:rPr>
        <w:t xml:space="preserve"> </w:t>
      </w:r>
      <w:r w:rsidRPr="00531BD3">
        <w:rPr>
          <w:rFonts w:hint="eastAsia"/>
          <w:rtl/>
        </w:rPr>
        <w:t>לפגיעה</w:t>
      </w:r>
      <w:r w:rsidRPr="00531BD3">
        <w:rPr>
          <w:rtl/>
        </w:rPr>
        <w:t xml:space="preserve"> </w:t>
      </w:r>
      <w:r w:rsidRPr="00531BD3">
        <w:rPr>
          <w:rFonts w:hint="eastAsia"/>
          <w:rtl/>
        </w:rPr>
        <w:t>בתאגיד</w:t>
      </w:r>
      <w:r w:rsidRPr="00531BD3">
        <w:rPr>
          <w:rtl/>
        </w:rPr>
        <w:t xml:space="preserve"> </w:t>
      </w:r>
      <w:r w:rsidRPr="00531BD3">
        <w:rPr>
          <w:rFonts w:hint="eastAsia"/>
          <w:rtl/>
        </w:rPr>
        <w:t>במקרה</w:t>
      </w:r>
      <w:r w:rsidRPr="00531BD3">
        <w:rPr>
          <w:rtl/>
        </w:rPr>
        <w:t xml:space="preserve"> </w:t>
      </w:r>
      <w:r w:rsidRPr="00531BD3">
        <w:rPr>
          <w:rFonts w:hint="eastAsia"/>
          <w:rtl/>
        </w:rPr>
        <w:t>זה</w:t>
      </w:r>
      <w:r w:rsidRPr="00531BD3">
        <w:rPr>
          <w:rtl/>
        </w:rPr>
        <w:t xml:space="preserve"> </w:t>
      </w:r>
      <w:r w:rsidRPr="00531BD3">
        <w:rPr>
          <w:rFonts w:hint="eastAsia"/>
          <w:rtl/>
        </w:rPr>
        <w:t>אינה</w:t>
      </w:r>
      <w:r w:rsidRPr="00531BD3">
        <w:rPr>
          <w:rtl/>
        </w:rPr>
        <w:t xml:space="preserve"> </w:t>
      </w:r>
      <w:r w:rsidRPr="00531BD3">
        <w:rPr>
          <w:rFonts w:hint="eastAsia"/>
          <w:rtl/>
        </w:rPr>
        <w:t>ברורה</w:t>
      </w:r>
      <w:r w:rsidRPr="00531BD3">
        <w:rPr>
          <w:rtl/>
        </w:rPr>
        <w:t xml:space="preserve"> </w:t>
      </w:r>
      <w:r w:rsidRPr="00531BD3">
        <w:rPr>
          <w:rFonts w:hint="eastAsia"/>
          <w:rtl/>
        </w:rPr>
        <w:t>דיה</w:t>
      </w:r>
      <w:r w:rsidRPr="00531BD3">
        <w:rPr>
          <w:rtl/>
        </w:rPr>
        <w:t xml:space="preserve">. </w:t>
      </w:r>
      <w:r w:rsidRPr="00531BD3">
        <w:rPr>
          <w:rFonts w:hint="eastAsia"/>
          <w:rtl/>
        </w:rPr>
        <w:t>אולם</w:t>
      </w:r>
      <w:r w:rsidRPr="00531BD3">
        <w:rPr>
          <w:rtl/>
        </w:rPr>
        <w:t xml:space="preserve">, </w:t>
      </w:r>
      <w:r w:rsidRPr="00531BD3">
        <w:rPr>
          <w:rFonts w:hint="eastAsia"/>
          <w:rtl/>
        </w:rPr>
        <w:t>בצדק</w:t>
      </w:r>
      <w:r w:rsidRPr="00531BD3">
        <w:rPr>
          <w:rtl/>
        </w:rPr>
        <w:t xml:space="preserve"> </w:t>
      </w:r>
      <w:r w:rsidRPr="00531BD3">
        <w:rPr>
          <w:rFonts w:hint="eastAsia"/>
          <w:rtl/>
        </w:rPr>
        <w:t>טענה</w:t>
      </w:r>
      <w:r w:rsidRPr="00531BD3">
        <w:rPr>
          <w:rFonts w:hint="cs"/>
          <w:rtl/>
        </w:rPr>
        <w:t xml:space="preserve"> המערערת כי בכתב האישום פורט כי מעשי המשיבים פגעו באינטרסים של בזק בשתי העסקאות, וביכולתם של מוסדות בזק להפעיל את סמכויותיהם באופן מושכל, ודי בכך בשלב זה. מעבר לכך, די בקיומו של מעשה אשר מעצם טיבו וטבעו פוגע באמון הציבור בתאגיד, ואין צורך להוכיח כי נגרמה פגיעה בפועל (</w:t>
      </w:r>
      <w:r w:rsidRPr="00531BD3">
        <w:rPr>
          <w:rFonts w:hint="eastAsia"/>
          <w:rtl/>
        </w:rPr>
        <w:t>ראו</w:t>
      </w:r>
      <w:r w:rsidRPr="00531BD3">
        <w:rPr>
          <w:rtl/>
        </w:rPr>
        <w:t xml:space="preserve"> </w:t>
      </w:r>
      <w:r w:rsidRPr="00531BD3">
        <w:rPr>
          <w:rFonts w:hint="eastAsia"/>
          <w:rtl/>
        </w:rPr>
        <w:t>לעניין</w:t>
      </w:r>
      <w:r w:rsidRPr="00531BD3">
        <w:rPr>
          <w:rtl/>
        </w:rPr>
        <w:t xml:space="preserve"> </w:t>
      </w:r>
      <w:r w:rsidRPr="00531BD3">
        <w:rPr>
          <w:rFonts w:hint="eastAsia"/>
          <w:rtl/>
        </w:rPr>
        <w:t>עבירת</w:t>
      </w:r>
      <w:r w:rsidRPr="00531BD3">
        <w:rPr>
          <w:rtl/>
        </w:rPr>
        <w:t xml:space="preserve"> </w:t>
      </w:r>
      <w:r w:rsidRPr="00531BD3">
        <w:rPr>
          <w:rFonts w:hint="eastAsia"/>
          <w:rtl/>
        </w:rPr>
        <w:t>מרמה</w:t>
      </w:r>
      <w:r w:rsidRPr="00531BD3">
        <w:rPr>
          <w:rtl/>
        </w:rPr>
        <w:t xml:space="preserve"> </w:t>
      </w:r>
      <w:r w:rsidRPr="00531BD3">
        <w:rPr>
          <w:rFonts w:hint="eastAsia"/>
          <w:rtl/>
        </w:rPr>
        <w:t>והפרת</w:t>
      </w:r>
      <w:r w:rsidRPr="00531BD3">
        <w:rPr>
          <w:rtl/>
        </w:rPr>
        <w:t xml:space="preserve"> </w:t>
      </w:r>
      <w:r w:rsidRPr="00531BD3">
        <w:rPr>
          <w:rFonts w:hint="eastAsia"/>
          <w:rtl/>
        </w:rPr>
        <w:t>אמונים</w:t>
      </w:r>
      <w:r w:rsidRPr="00531BD3">
        <w:rPr>
          <w:rtl/>
        </w:rPr>
        <w:t xml:space="preserve"> </w:t>
      </w:r>
      <w:r w:rsidRPr="00531BD3">
        <w:rPr>
          <w:rFonts w:hint="eastAsia"/>
          <w:rtl/>
        </w:rPr>
        <w:t>בעובד</w:t>
      </w:r>
      <w:r w:rsidRPr="00531BD3">
        <w:rPr>
          <w:rtl/>
        </w:rPr>
        <w:t xml:space="preserve"> </w:t>
      </w:r>
      <w:r w:rsidRPr="00531BD3">
        <w:rPr>
          <w:rFonts w:hint="eastAsia"/>
          <w:rtl/>
        </w:rPr>
        <w:t>ציבור</w:t>
      </w:r>
      <w:r w:rsidRPr="00531BD3">
        <w:rPr>
          <w:rtl/>
        </w:rPr>
        <w:t xml:space="preserve">: </w:t>
      </w:r>
      <w:r w:rsidRPr="00531BD3">
        <w:rPr>
          <w:rFonts w:ascii="Century" w:hAnsi="Century" w:hint="eastAsia"/>
          <w:sz w:val="22"/>
          <w:rtl/>
        </w:rPr>
        <w:t>ע</w:t>
      </w:r>
      <w:r w:rsidRPr="00531BD3">
        <w:rPr>
          <w:rFonts w:ascii="Century" w:hAnsi="Century" w:hint="cs"/>
          <w:sz w:val="22"/>
          <w:rtl/>
        </w:rPr>
        <w:t>"</w:t>
      </w:r>
      <w:r w:rsidRPr="00531BD3">
        <w:rPr>
          <w:rFonts w:ascii="Century" w:hAnsi="Century" w:hint="eastAsia"/>
          <w:sz w:val="22"/>
          <w:rtl/>
        </w:rPr>
        <w:t>פ</w:t>
      </w:r>
      <w:r w:rsidRPr="00531BD3">
        <w:rPr>
          <w:rFonts w:ascii="Century" w:hAnsi="Century"/>
          <w:sz w:val="22"/>
          <w:rtl/>
        </w:rPr>
        <w:t xml:space="preserve"> 3817/18</w:t>
      </w:r>
      <w:r w:rsidRPr="00531BD3">
        <w:rPr>
          <w:rFonts w:ascii="Century" w:hAnsi="Century" w:cs="Miriam"/>
          <w:b/>
          <w:spacing w:val="0"/>
          <w:sz w:val="22"/>
          <w:szCs w:val="24"/>
          <w:rtl/>
        </w:rPr>
        <w:t xml:space="preserve"> </w:t>
      </w:r>
      <w:r w:rsidRPr="00531BD3">
        <w:rPr>
          <w:rFonts w:ascii="Century" w:hAnsi="Century" w:cs="Miriam" w:hint="eastAsia"/>
          <w:b/>
          <w:spacing w:val="0"/>
          <w:sz w:val="22"/>
          <w:szCs w:val="24"/>
          <w:rtl/>
        </w:rPr>
        <w:t>מדינת</w:t>
      </w:r>
      <w:r w:rsidRPr="00531BD3">
        <w:rPr>
          <w:rFonts w:ascii="Century" w:hAnsi="Century" w:cs="Miriam"/>
          <w:b/>
          <w:spacing w:val="0"/>
          <w:sz w:val="22"/>
          <w:szCs w:val="24"/>
          <w:rtl/>
        </w:rPr>
        <w:t xml:space="preserve"> </w:t>
      </w:r>
      <w:r w:rsidRPr="00531BD3">
        <w:rPr>
          <w:rFonts w:ascii="Century" w:hAnsi="Century" w:cs="Miriam" w:hint="eastAsia"/>
          <w:b/>
          <w:spacing w:val="0"/>
          <w:sz w:val="22"/>
          <w:szCs w:val="24"/>
          <w:rtl/>
        </w:rPr>
        <w:t>ישראל</w:t>
      </w:r>
      <w:r w:rsidRPr="00531BD3">
        <w:rPr>
          <w:rFonts w:ascii="Century" w:hAnsi="Century" w:cs="Miriam"/>
          <w:b/>
          <w:spacing w:val="0"/>
          <w:sz w:val="22"/>
          <w:szCs w:val="24"/>
          <w:rtl/>
        </w:rPr>
        <w:t xml:space="preserve"> </w:t>
      </w:r>
      <w:r w:rsidRPr="00531BD3">
        <w:rPr>
          <w:rFonts w:ascii="Century" w:hAnsi="Century" w:cs="Miriam" w:hint="eastAsia"/>
          <w:b/>
          <w:spacing w:val="0"/>
          <w:sz w:val="22"/>
          <w:szCs w:val="24"/>
          <w:rtl/>
        </w:rPr>
        <w:t>נ</w:t>
      </w:r>
      <w:r w:rsidRPr="00531BD3">
        <w:rPr>
          <w:rFonts w:ascii="Century" w:hAnsi="Century" w:cs="Miriam"/>
          <w:b/>
          <w:spacing w:val="0"/>
          <w:sz w:val="22"/>
          <w:szCs w:val="24"/>
          <w:rtl/>
        </w:rPr>
        <w:t xml:space="preserve">' </w:t>
      </w:r>
      <w:r w:rsidRPr="00531BD3">
        <w:rPr>
          <w:rFonts w:ascii="Century" w:hAnsi="Century" w:cs="Miriam" w:hint="eastAsia"/>
          <w:b/>
          <w:spacing w:val="0"/>
          <w:sz w:val="22"/>
          <w:szCs w:val="24"/>
          <w:rtl/>
        </w:rPr>
        <w:t>חסן</w:t>
      </w:r>
      <w:r>
        <w:rPr>
          <w:rFonts w:hint="cs"/>
          <w:rtl/>
        </w:rPr>
        <w:t xml:space="preserve">, </w:t>
      </w:r>
      <w:r w:rsidRPr="00531BD3">
        <w:rPr>
          <w:rFonts w:hint="eastAsia"/>
          <w:rtl/>
        </w:rPr>
        <w:t>פסקה</w:t>
      </w:r>
      <w:r w:rsidRPr="00531BD3">
        <w:rPr>
          <w:rtl/>
        </w:rPr>
        <w:t xml:space="preserve"> 14 </w:t>
      </w:r>
      <w:r w:rsidRPr="00531BD3">
        <w:rPr>
          <w:rFonts w:hint="eastAsia"/>
          <w:rtl/>
        </w:rPr>
        <w:t>לפסק</w:t>
      </w:r>
      <w:r w:rsidRPr="00531BD3">
        <w:rPr>
          <w:rtl/>
        </w:rPr>
        <w:t xml:space="preserve"> </w:t>
      </w:r>
      <w:r w:rsidRPr="00531BD3">
        <w:rPr>
          <w:rFonts w:hint="eastAsia"/>
          <w:rtl/>
        </w:rPr>
        <w:t>דינו</w:t>
      </w:r>
      <w:r w:rsidRPr="00531BD3">
        <w:rPr>
          <w:rtl/>
        </w:rPr>
        <w:t xml:space="preserve"> </w:t>
      </w:r>
      <w:r w:rsidRPr="00531BD3">
        <w:rPr>
          <w:rFonts w:hint="eastAsia"/>
          <w:rtl/>
        </w:rPr>
        <w:t>של</w:t>
      </w:r>
      <w:r w:rsidRPr="00531BD3">
        <w:rPr>
          <w:rtl/>
        </w:rPr>
        <w:t xml:space="preserve"> </w:t>
      </w:r>
      <w:r w:rsidRPr="00531BD3">
        <w:rPr>
          <w:rFonts w:hint="eastAsia"/>
          <w:rtl/>
        </w:rPr>
        <w:t>השופט</w:t>
      </w:r>
      <w:r w:rsidRPr="00531BD3">
        <w:rPr>
          <w:rtl/>
        </w:rPr>
        <w:t xml:space="preserve"> </w:t>
      </w:r>
      <w:r w:rsidRPr="00531BD3">
        <w:rPr>
          <w:rFonts w:ascii="Century" w:hAnsi="Century" w:cs="Miriam" w:hint="eastAsia"/>
          <w:b/>
          <w:spacing w:val="0"/>
          <w:sz w:val="22"/>
          <w:szCs w:val="24"/>
          <w:rtl/>
        </w:rPr>
        <w:t>י</w:t>
      </w:r>
      <w:r w:rsidRPr="00531BD3">
        <w:rPr>
          <w:rFonts w:ascii="Century" w:hAnsi="Century" w:cs="Miriam"/>
          <w:b/>
          <w:spacing w:val="0"/>
          <w:sz w:val="22"/>
          <w:szCs w:val="24"/>
          <w:rtl/>
        </w:rPr>
        <w:t xml:space="preserve">' </w:t>
      </w:r>
      <w:r w:rsidRPr="00531BD3">
        <w:rPr>
          <w:rFonts w:ascii="Century" w:hAnsi="Century" w:cs="Miriam" w:hint="eastAsia"/>
          <w:b/>
          <w:spacing w:val="0"/>
          <w:sz w:val="22"/>
          <w:szCs w:val="24"/>
          <w:rtl/>
        </w:rPr>
        <w:t>אלרון</w:t>
      </w:r>
      <w:r w:rsidRPr="00531BD3">
        <w:rPr>
          <w:rFonts w:hint="cs"/>
          <w:rtl/>
        </w:rPr>
        <w:t xml:space="preserve"> (3.12.2019) (להלן: עניין </w:t>
      </w:r>
      <w:r w:rsidRPr="00531BD3">
        <w:rPr>
          <w:rFonts w:ascii="Century" w:hAnsi="Century" w:cs="Miriam" w:hint="cs"/>
          <w:b/>
          <w:spacing w:val="0"/>
          <w:sz w:val="22"/>
          <w:szCs w:val="24"/>
          <w:rtl/>
        </w:rPr>
        <w:t>חסן</w:t>
      </w:r>
      <w:r w:rsidRPr="00531BD3">
        <w:rPr>
          <w:rFonts w:hint="cs"/>
          <w:rtl/>
        </w:rPr>
        <w:t>)</w:t>
      </w:r>
      <w:r w:rsidRPr="00531BD3">
        <w:rPr>
          <w:rtl/>
        </w:rPr>
        <w:t xml:space="preserve">; </w:t>
      </w:r>
      <w:r w:rsidRPr="00531BD3">
        <w:rPr>
          <w:rFonts w:hint="eastAsia"/>
          <w:rtl/>
        </w:rPr>
        <w:t>וכן</w:t>
      </w:r>
      <w:r w:rsidRPr="00531BD3">
        <w:rPr>
          <w:rtl/>
        </w:rPr>
        <w:t xml:space="preserve"> </w:t>
      </w:r>
      <w:r w:rsidRPr="00531BD3">
        <w:rPr>
          <w:rFonts w:hint="eastAsia"/>
          <w:rtl/>
        </w:rPr>
        <w:t>לעניין</w:t>
      </w:r>
      <w:r w:rsidRPr="00531BD3">
        <w:rPr>
          <w:rtl/>
        </w:rPr>
        <w:t xml:space="preserve"> </w:t>
      </w:r>
      <w:r w:rsidRPr="00531BD3">
        <w:rPr>
          <w:rFonts w:hint="eastAsia"/>
          <w:rtl/>
        </w:rPr>
        <w:t>מרמה</w:t>
      </w:r>
      <w:r w:rsidRPr="00531BD3">
        <w:rPr>
          <w:rtl/>
        </w:rPr>
        <w:t xml:space="preserve"> </w:t>
      </w:r>
      <w:r w:rsidRPr="00531BD3">
        <w:rPr>
          <w:rFonts w:hint="eastAsia"/>
          <w:rtl/>
        </w:rPr>
        <w:t>והפרת</w:t>
      </w:r>
      <w:r w:rsidRPr="00531BD3">
        <w:rPr>
          <w:rtl/>
        </w:rPr>
        <w:t xml:space="preserve"> </w:t>
      </w:r>
      <w:r w:rsidRPr="00531BD3">
        <w:rPr>
          <w:rFonts w:hint="eastAsia"/>
          <w:rtl/>
        </w:rPr>
        <w:t>אמונים</w:t>
      </w:r>
      <w:r w:rsidRPr="00531BD3">
        <w:rPr>
          <w:rtl/>
        </w:rPr>
        <w:t xml:space="preserve"> </w:t>
      </w:r>
      <w:r w:rsidRPr="00531BD3">
        <w:rPr>
          <w:rFonts w:hint="eastAsia"/>
          <w:rtl/>
        </w:rPr>
        <w:t>בתאגיד</w:t>
      </w:r>
      <w:r w:rsidRPr="00531BD3">
        <w:rPr>
          <w:rtl/>
        </w:rPr>
        <w:t xml:space="preserve">: </w:t>
      </w:r>
      <w:r w:rsidRPr="00531BD3">
        <w:rPr>
          <w:rFonts w:hint="eastAsia"/>
          <w:rtl/>
        </w:rPr>
        <w:t>עניין</w:t>
      </w:r>
      <w:r w:rsidRPr="00531BD3">
        <w:rPr>
          <w:rtl/>
        </w:rPr>
        <w:t xml:space="preserve"> </w:t>
      </w:r>
      <w:proofErr w:type="spellStart"/>
      <w:r w:rsidRPr="00531BD3">
        <w:rPr>
          <w:rFonts w:ascii="Century" w:hAnsi="Century" w:cs="Miriam" w:hint="eastAsia"/>
          <w:b/>
          <w:spacing w:val="0"/>
          <w:sz w:val="22"/>
          <w:szCs w:val="24"/>
          <w:rtl/>
        </w:rPr>
        <w:t>טטרו</w:t>
      </w:r>
      <w:proofErr w:type="spellEnd"/>
      <w:r w:rsidRPr="00531BD3">
        <w:rPr>
          <w:rtl/>
        </w:rPr>
        <w:t xml:space="preserve">, </w:t>
      </w:r>
      <w:r w:rsidRPr="00531BD3">
        <w:rPr>
          <w:rFonts w:hint="eastAsia"/>
          <w:rtl/>
        </w:rPr>
        <w:t>פסקה</w:t>
      </w:r>
      <w:r w:rsidRPr="00531BD3">
        <w:rPr>
          <w:rtl/>
        </w:rPr>
        <w:t xml:space="preserve"> 10 </w:t>
      </w:r>
      <w:r w:rsidRPr="00531BD3">
        <w:rPr>
          <w:rFonts w:hint="eastAsia"/>
          <w:rtl/>
        </w:rPr>
        <w:t>לפסק</w:t>
      </w:r>
      <w:r w:rsidRPr="00531BD3">
        <w:rPr>
          <w:rtl/>
        </w:rPr>
        <w:t xml:space="preserve"> </w:t>
      </w:r>
      <w:r w:rsidRPr="00531BD3">
        <w:rPr>
          <w:rFonts w:hint="eastAsia"/>
          <w:rtl/>
        </w:rPr>
        <w:t>דינו</w:t>
      </w:r>
      <w:r w:rsidRPr="00531BD3">
        <w:rPr>
          <w:rtl/>
        </w:rPr>
        <w:t xml:space="preserve"> </w:t>
      </w:r>
      <w:r w:rsidRPr="00531BD3">
        <w:rPr>
          <w:rFonts w:hint="eastAsia"/>
          <w:rtl/>
        </w:rPr>
        <w:t>של</w:t>
      </w:r>
      <w:r w:rsidRPr="00531BD3">
        <w:rPr>
          <w:rtl/>
        </w:rPr>
        <w:t xml:space="preserve"> </w:t>
      </w:r>
      <w:r w:rsidRPr="00531BD3">
        <w:rPr>
          <w:rFonts w:hint="eastAsia"/>
          <w:rtl/>
        </w:rPr>
        <w:t>השופט</w:t>
      </w:r>
      <w:r w:rsidRPr="00531BD3">
        <w:rPr>
          <w:rtl/>
        </w:rPr>
        <w:t xml:space="preserve"> </w:t>
      </w:r>
      <w:r w:rsidRPr="00531BD3">
        <w:rPr>
          <w:rFonts w:ascii="Century" w:hAnsi="Century" w:cs="Miriam" w:hint="eastAsia"/>
          <w:b/>
          <w:spacing w:val="0"/>
          <w:sz w:val="22"/>
          <w:szCs w:val="24"/>
          <w:rtl/>
        </w:rPr>
        <w:t>ג</w:t>
      </w:r>
      <w:r w:rsidRPr="00531BD3">
        <w:rPr>
          <w:rFonts w:ascii="Century" w:hAnsi="Century" w:cs="Miriam"/>
          <w:b/>
          <w:spacing w:val="0"/>
          <w:sz w:val="22"/>
          <w:szCs w:val="24"/>
          <w:rtl/>
        </w:rPr>
        <w:t xml:space="preserve">' </w:t>
      </w:r>
      <w:r w:rsidRPr="00531BD3">
        <w:rPr>
          <w:rFonts w:ascii="Century" w:hAnsi="Century" w:cs="Miriam" w:hint="eastAsia"/>
          <w:b/>
          <w:spacing w:val="0"/>
          <w:sz w:val="22"/>
          <w:szCs w:val="24"/>
          <w:rtl/>
        </w:rPr>
        <w:t>קרא</w:t>
      </w:r>
      <w:r w:rsidRPr="00531BD3">
        <w:rPr>
          <w:rtl/>
        </w:rPr>
        <w:t>).</w:t>
      </w:r>
    </w:p>
    <w:p w:rsidR="008A4DD4" w:rsidRPr="00531BD3" w:rsidRDefault="008A4DD4" w:rsidP="008A4DD4">
      <w:pPr>
        <w:pStyle w:val="Ruller41"/>
        <w:rPr>
          <w:rtl/>
        </w:rPr>
      </w:pPr>
    </w:p>
    <w:p w:rsidR="008A4DD4" w:rsidRPr="00531BD3" w:rsidRDefault="008A4DD4" w:rsidP="008A4DD4">
      <w:pPr>
        <w:pStyle w:val="Ruller4"/>
        <w:rPr>
          <w:rtl/>
        </w:rPr>
      </w:pPr>
      <w:r w:rsidRPr="00531BD3">
        <w:rPr>
          <w:rFonts w:hint="cs"/>
          <w:rtl/>
        </w:rPr>
        <w:lastRenderedPageBreak/>
        <w:t xml:space="preserve">הנה כי כן, על פי עובדות כתב האישום, הוועדות הוקמו על רקע ניגוד העניינים המובנה שבו היו נתונים בעלי העניין ובמצג על פיו בעלי העניין ממודרים ואינם נחשפים לחומרי הוועדות; הודלפו מסמכים שתוכנם כולל נושאים מליבת המשא ומתן; נעשה שימוש בחומרים שהודלפו על מנת להשפיע על המשא ומתן ממנו בעלי העניין היו אמורים להיות ממודרים; והיה בכוחם של מסמכים אלה כדי לחשוף את אסטרטגיית המשא ומתן על ידי גורם מתוך החברה המצוי מכוח תפקידו בדיוני הוועדה והנחשף לחומרי הוועדה. כל זאת כאשר </w:t>
      </w:r>
      <w:r w:rsidRPr="00531BD3">
        <w:rPr>
          <w:rtl/>
        </w:rPr>
        <w:t>–</w:t>
      </w:r>
      <w:r w:rsidRPr="00531BD3">
        <w:rPr>
          <w:rFonts w:hint="cs"/>
          <w:rtl/>
        </w:rPr>
        <w:t xml:space="preserve"> על רקע המבחנים שפורטו בעניין </w:t>
      </w:r>
      <w:proofErr w:type="spellStart"/>
      <w:r w:rsidRPr="00531BD3">
        <w:rPr>
          <w:rFonts w:ascii="Century" w:hAnsi="Century" w:cs="Miriam" w:hint="eastAsia"/>
          <w:b/>
          <w:spacing w:val="0"/>
          <w:sz w:val="22"/>
          <w:szCs w:val="24"/>
          <w:rtl/>
        </w:rPr>
        <w:t>טטרו</w:t>
      </w:r>
      <w:proofErr w:type="spellEnd"/>
      <w:r w:rsidRPr="00531BD3">
        <w:rPr>
          <w:rFonts w:hint="cs"/>
          <w:rtl/>
        </w:rPr>
        <w:t xml:space="preserve"> </w:t>
      </w:r>
      <w:r w:rsidRPr="00531BD3">
        <w:rPr>
          <w:rtl/>
        </w:rPr>
        <w:t>–</w:t>
      </w:r>
      <w:r w:rsidRPr="00531BD3">
        <w:rPr>
          <w:rFonts w:hint="cs"/>
          <w:rtl/>
        </w:rPr>
        <w:t xml:space="preserve"> מדובר בבעלי עניין אשר היו בעלי תפקידים בכירים בחברה; מדובר היה בעסקאות משמעותיות ביותר בהיקף כספי ניכר; ומדובר בחברת התקשורת הגדולה בישראל אשר לא רק מספקת שירותים לציבור אלא מהווה מונופול מוכרז בחלק ממקטעי שוק התקשורת. על פניו, פעילות כזו, </w:t>
      </w:r>
      <w:r w:rsidRPr="0053204D">
        <w:rPr>
          <w:rFonts w:ascii="Century" w:hAnsi="Century" w:cs="Miriam" w:hint="cs"/>
          <w:b/>
          <w:spacing w:val="0"/>
          <w:sz w:val="22"/>
          <w:szCs w:val="24"/>
          <w:rtl/>
        </w:rPr>
        <w:t>ככל שתוכח</w:t>
      </w:r>
      <w:r w:rsidRPr="00531BD3">
        <w:rPr>
          <w:rFonts w:hint="cs"/>
          <w:rtl/>
        </w:rPr>
        <w:t>, אכן עשויה לעלות לכדי הפרת נורמה פלילית של עבירת מרמה והפרת אמונים בתאגיד.</w:t>
      </w:r>
    </w:p>
    <w:p w:rsidR="008A4DD4" w:rsidRPr="00531BD3" w:rsidRDefault="008A4DD4" w:rsidP="008A4DD4">
      <w:pPr>
        <w:pStyle w:val="Ruller41"/>
        <w:rPr>
          <w:rtl/>
        </w:rPr>
      </w:pPr>
    </w:p>
    <w:p w:rsidR="008A4DD4" w:rsidRPr="00531BD3" w:rsidRDefault="008A4DD4" w:rsidP="008A4DD4">
      <w:pPr>
        <w:pStyle w:val="Ruller4"/>
        <w:rPr>
          <w:rtl/>
        </w:rPr>
      </w:pPr>
      <w:r w:rsidRPr="00531BD3">
        <w:rPr>
          <w:rFonts w:hint="cs"/>
          <w:rtl/>
        </w:rPr>
        <w:t xml:space="preserve">בית המשפט המחוזי הוסיף וקבע כי מעובדות כתב האישום גם לא ניתן לקבוע כי במקרה זה מתקיים </w:t>
      </w:r>
      <w:r w:rsidRPr="00531BD3">
        <w:rPr>
          <w:rFonts w:ascii="Century" w:hAnsi="Century" w:cs="Miriam" w:hint="cs"/>
          <w:b/>
          <w:spacing w:val="0"/>
          <w:sz w:val="22"/>
          <w:szCs w:val="24"/>
          <w:rtl/>
        </w:rPr>
        <w:t>פן מחמיר</w:t>
      </w:r>
      <w:r w:rsidRPr="00531BD3">
        <w:rPr>
          <w:rFonts w:hint="cs"/>
          <w:rtl/>
        </w:rPr>
        <w:t xml:space="preserve"> נוסף כנדרש לצורך הרשעה בעבירה זו, שכן לא נטען שהמשיבים הפיקו רווח מקבלת המסמכים, לא התקיימה סטייה מן השורה ולא היה ניגוד עניינים בין קבלת המסמכים לבין תפקידם בחב</w:t>
      </w:r>
      <w:r>
        <w:rPr>
          <w:rFonts w:hint="cs"/>
          <w:rtl/>
        </w:rPr>
        <w:t xml:space="preserve">רה. אלא ראשית ייאמר בעניין זה כי </w:t>
      </w:r>
      <w:r w:rsidRPr="00531BD3">
        <w:rPr>
          <w:rFonts w:hint="cs"/>
          <w:rtl/>
        </w:rPr>
        <w:t xml:space="preserve">ספק בעיניי אם הכרעה שלא מתקיים פן מחמיר נוסף היא הכרעה המתאימה לשלב שבו עוד טרם התבררה התמונה העובדתית ולא הוצגה המסכת הראייתית שיש בכוחה כדי לבטא את מידת החומרה הגלומה במעשי המשיבים. </w:t>
      </w:r>
      <w:r>
        <w:rPr>
          <w:rFonts w:hint="cs"/>
          <w:rtl/>
        </w:rPr>
        <w:t>שנית</w:t>
      </w:r>
      <w:r w:rsidRPr="00531BD3">
        <w:rPr>
          <w:rFonts w:hint="cs"/>
          <w:rtl/>
        </w:rPr>
        <w:t>, כאמור לעיל, על פני הדברים, הנתונים "היבשים" אינם תומכים בדחיית ההערכה כי במקרה זה מתקיים "פן מחמיר נוסף", כאשר לצד זאת, ההערכה אם אכן מתקיים במקרה זה נדבך חומרה נוסף צריכה להישען על בחינה ראייתית מלאה כאמור.</w:t>
      </w:r>
    </w:p>
    <w:p w:rsidR="008A4DD4" w:rsidRPr="00531BD3" w:rsidRDefault="008A4DD4" w:rsidP="008A4DD4">
      <w:pPr>
        <w:pStyle w:val="Ruller4"/>
        <w:numPr>
          <w:ilvl w:val="0"/>
          <w:numId w:val="0"/>
        </w:numPr>
      </w:pPr>
    </w:p>
    <w:p w:rsidR="008A4DD4" w:rsidRPr="00531BD3" w:rsidRDefault="008A4DD4" w:rsidP="008A4DD4">
      <w:pPr>
        <w:pStyle w:val="Ruller4"/>
      </w:pPr>
      <w:r w:rsidRPr="00531BD3">
        <w:rPr>
          <w:rFonts w:hint="cs"/>
          <w:rtl/>
        </w:rPr>
        <w:t xml:space="preserve">בית המשפט המחוזי הגיע כאמור למסקנה שונה, וזאת בעיקר בהינתן הכרעתו כי לא הופרה במקרה זה חובת סודיות. בית המשפט קבע כי ככל שהוכרה בדין חובת סודיות כלפי דיוני ועדה מיוחדת, הדבר נעשה במישור האזרחי בלבד, ואף שם הודגש, תוך הסתמכות על שנקבע בעניין </w:t>
      </w:r>
      <w:r w:rsidRPr="00531BD3">
        <w:rPr>
          <w:rFonts w:ascii="Century" w:hAnsi="Century" w:cs="Miriam" w:hint="cs"/>
          <w:b/>
          <w:spacing w:val="0"/>
          <w:sz w:val="22"/>
          <w:szCs w:val="24"/>
          <w:rtl/>
        </w:rPr>
        <w:t>אסם השקעות</w:t>
      </w:r>
      <w:r w:rsidRPr="00531BD3">
        <w:rPr>
          <w:rFonts w:hint="cs"/>
          <w:rtl/>
        </w:rPr>
        <w:t xml:space="preserve">, כי לצורך אישור העסקה יש להתמקד בתוצאת עבודת הוועדה ו"לדקדק פחות </w:t>
      </w:r>
      <w:proofErr w:type="spellStart"/>
      <w:r w:rsidRPr="00531BD3">
        <w:rPr>
          <w:rFonts w:hint="cs"/>
          <w:rtl/>
        </w:rPr>
        <w:t>בנוהליה</w:t>
      </w:r>
      <w:proofErr w:type="spellEnd"/>
      <w:r w:rsidRPr="00531BD3">
        <w:rPr>
          <w:rFonts w:hint="cs"/>
          <w:rtl/>
        </w:rPr>
        <w:t xml:space="preserve">". בנוסף, נקבע כי הכרה חובת הסודיות כאמור הינה התפתחות שבדין המאוחרת לתקופה שבה אירעו האירועים מושא כתב האישום. </w:t>
      </w:r>
      <w:r w:rsidRPr="00531BD3">
        <w:rPr>
          <w:rFonts w:ascii="Century" w:hAnsi="Century" w:hint="cs"/>
          <w:rtl/>
        </w:rPr>
        <w:t xml:space="preserve">אדון בקביעות אלה כל אחת בנפרד. </w:t>
      </w:r>
    </w:p>
    <w:p w:rsidR="008A4DD4" w:rsidRPr="00531BD3" w:rsidRDefault="008A4DD4" w:rsidP="008A4DD4">
      <w:pPr>
        <w:pStyle w:val="Ruller41"/>
        <w:rPr>
          <w:rtl/>
        </w:rPr>
      </w:pPr>
    </w:p>
    <w:p w:rsidR="008A4DD4" w:rsidRPr="00531BD3" w:rsidRDefault="008A4DD4" w:rsidP="008A4DD4">
      <w:pPr>
        <w:pStyle w:val="Ruller4"/>
        <w:rPr>
          <w:rFonts w:ascii="FrankRuehl" w:hAnsi="FrankRuehl"/>
          <w:color w:val="000000"/>
          <w:sz w:val="28"/>
          <w:rtl/>
        </w:rPr>
      </w:pPr>
      <w:r>
        <w:rPr>
          <w:rFonts w:hint="cs"/>
          <w:rtl/>
        </w:rPr>
        <w:t xml:space="preserve">בעניין זה </w:t>
      </w:r>
      <w:r w:rsidRPr="00531BD3">
        <w:rPr>
          <w:rFonts w:hint="cs"/>
          <w:rtl/>
        </w:rPr>
        <w:t xml:space="preserve">בית המשפט המחוזי נתן דגש בהכרעתו לכך שבעניין </w:t>
      </w:r>
      <w:r w:rsidRPr="00531BD3">
        <w:rPr>
          <w:rFonts w:ascii="Century" w:hAnsi="Century" w:cs="Miriam" w:hint="cs"/>
          <w:b/>
          <w:spacing w:val="0"/>
          <w:sz w:val="22"/>
          <w:szCs w:val="24"/>
          <w:rtl/>
        </w:rPr>
        <w:t>אסם השקעות</w:t>
      </w:r>
      <w:r w:rsidRPr="00531BD3">
        <w:rPr>
          <w:rFonts w:hint="cs"/>
          <w:rtl/>
        </w:rPr>
        <w:t xml:space="preserve"> "הועברו גם כן חומרים מהועדה הבלתי </w:t>
      </w:r>
      <w:proofErr w:type="spellStart"/>
      <w:r w:rsidRPr="00531BD3">
        <w:rPr>
          <w:rFonts w:hint="cs"/>
          <w:rtl/>
        </w:rPr>
        <w:t>תלוייה</w:t>
      </w:r>
      <w:proofErr w:type="spellEnd"/>
      <w:r w:rsidRPr="00531BD3">
        <w:rPr>
          <w:rFonts w:hint="cs"/>
          <w:rtl/>
        </w:rPr>
        <w:t xml:space="preserve"> לבעלי העניין" ובכל זאת "העסקה </w:t>
      </w:r>
      <w:r w:rsidRPr="00531BD3">
        <w:rPr>
          <w:rFonts w:hint="cs"/>
          <w:rtl/>
        </w:rPr>
        <w:lastRenderedPageBreak/>
        <w:t xml:space="preserve">אושרה, הן בבית המשפט המחוזי, הן בבית המשפט העליון" (פסקה 70 להחלטה). משמעות הדבר, כי לפי קביעת בית המשפט המחוזי "יש לדקדק פחות </w:t>
      </w:r>
      <w:proofErr w:type="spellStart"/>
      <w:r w:rsidRPr="00531BD3">
        <w:rPr>
          <w:rFonts w:hint="cs"/>
          <w:rtl/>
        </w:rPr>
        <w:t>בנוהליה</w:t>
      </w:r>
      <w:proofErr w:type="spellEnd"/>
      <w:r w:rsidRPr="00531BD3">
        <w:rPr>
          <w:rFonts w:hint="cs"/>
          <w:rtl/>
        </w:rPr>
        <w:t xml:space="preserve">" של הוועדה מקום שבו נקבע שעבודתה הייתה "אפקטיבית", ו"אם כך נקבע לצרכי בירור בקשה לאישור תובענה ייצוגית בהליך אזרחי, הדברים יפים מקל וחומר להליך פלילי" (פסקה 140). אלא שלהשקפתי יש להתייחס לתוצאת ההליך בעניין </w:t>
      </w:r>
      <w:r w:rsidRPr="00531BD3">
        <w:rPr>
          <w:rFonts w:ascii="Century" w:hAnsi="Century" w:cs="Miriam" w:hint="cs"/>
          <w:b/>
          <w:spacing w:val="0"/>
          <w:sz w:val="22"/>
          <w:szCs w:val="24"/>
          <w:rtl/>
        </w:rPr>
        <w:t>אסם השקעות</w:t>
      </w:r>
      <w:r w:rsidRPr="00531BD3">
        <w:rPr>
          <w:rFonts w:hint="cs"/>
          <w:rtl/>
        </w:rPr>
        <w:t xml:space="preserve"> בהקשר מדויק יותר. באותו עניין נדחתה בקשה לאישור תובענה כייצוגית בקשר לעסקת מיזוג שנטען כי התקיימו פגמים בהליך אישורה, בין היתר לאור העברת מידע לבעלי השליטה על ידי הוועדה המיוחדת. הביקורת השיפוטית התמקדה אפוא </w:t>
      </w:r>
      <w:r w:rsidRPr="00531BD3">
        <w:rPr>
          <w:rFonts w:ascii="Century" w:hAnsi="Century" w:cs="Miriam" w:hint="cs"/>
          <w:b/>
          <w:spacing w:val="0"/>
          <w:sz w:val="22"/>
          <w:szCs w:val="24"/>
          <w:rtl/>
        </w:rPr>
        <w:t>בטיב עבודת</w:t>
      </w:r>
      <w:r w:rsidRPr="00531BD3">
        <w:rPr>
          <w:rFonts w:hint="cs"/>
          <w:rtl/>
        </w:rPr>
        <w:t xml:space="preserve"> </w:t>
      </w:r>
      <w:r w:rsidRPr="00531BD3">
        <w:rPr>
          <w:rFonts w:ascii="Century" w:hAnsi="Century" w:cs="Miriam" w:hint="cs"/>
          <w:b/>
          <w:spacing w:val="0"/>
          <w:sz w:val="22"/>
          <w:szCs w:val="24"/>
          <w:rtl/>
        </w:rPr>
        <w:t>הוועדה</w:t>
      </w:r>
      <w:r w:rsidRPr="00531BD3">
        <w:rPr>
          <w:rFonts w:hint="cs"/>
          <w:rtl/>
        </w:rPr>
        <w:t xml:space="preserve"> וממילא הובהר כי יש לנקוט באמת מידה זהירה בביקורת מעין זו. מה גם, שבאותו עניין העברת המידע נעשתה על ידי גורמים שהוסמכו על ידי הוועדה ובידיעתה. השאלה העומדת על הפרק בענייננו, האם הופרו נורמות פליליות על ידי בעלי העניין, היא שאלה שונה מהשאלה הכללית בדיני חברות בדבר היקף הביקורת השיפוטית שיש להחיל על </w:t>
      </w:r>
      <w:r w:rsidRPr="00531BD3">
        <w:rPr>
          <w:rFonts w:ascii="Century" w:hAnsi="Century" w:cs="Miriam" w:hint="cs"/>
          <w:b/>
          <w:spacing w:val="0"/>
          <w:sz w:val="22"/>
          <w:szCs w:val="24"/>
          <w:rtl/>
        </w:rPr>
        <w:t>עסקאות</w:t>
      </w:r>
      <w:r w:rsidRPr="00531BD3">
        <w:rPr>
          <w:rFonts w:hint="cs"/>
          <w:rtl/>
        </w:rPr>
        <w:t xml:space="preserve"> שצלחו את מנגנון האישור הקבוע בחוק, והשאלה הנגזרת מכך, האם יש מקום לבחון את </w:t>
      </w:r>
      <w:r w:rsidRPr="00531BD3">
        <w:rPr>
          <w:rFonts w:ascii="Century" w:hAnsi="Century" w:cs="Miriam" w:hint="cs"/>
          <w:b/>
          <w:spacing w:val="0"/>
          <w:sz w:val="22"/>
          <w:szCs w:val="24"/>
          <w:rtl/>
        </w:rPr>
        <w:t>תוכן</w:t>
      </w:r>
      <w:r w:rsidRPr="00531BD3">
        <w:rPr>
          <w:rFonts w:hint="cs"/>
          <w:rtl/>
        </w:rPr>
        <w:t xml:space="preserve"> ההחלטות העסקיות לגופן. שאלות אלו טומנות בחובן סוגיות כבדות משקל בדיני החברות, ביניהן שאלת תחולתו של כלל ההגינות המלאה במצבים אלה, שאין מקום להיכנס אליהן בגדרי הדיון הנוכחי (וראו למשל דיון בקשר לכך בעניין </w:t>
      </w:r>
      <w:proofErr w:type="spellStart"/>
      <w:r w:rsidRPr="00531BD3">
        <w:rPr>
          <w:rFonts w:ascii="Century" w:hAnsi="Century" w:cs="Miriam" w:hint="cs"/>
          <w:b/>
          <w:spacing w:val="0"/>
          <w:sz w:val="22"/>
          <w:szCs w:val="24"/>
          <w:rtl/>
        </w:rPr>
        <w:t>ורדניקוב</w:t>
      </w:r>
      <w:proofErr w:type="spellEnd"/>
      <w:r w:rsidRPr="00531BD3">
        <w:rPr>
          <w:rFonts w:hint="cs"/>
          <w:rtl/>
        </w:rPr>
        <w:t xml:space="preserve">). העובדה שהליקויים שנפלו בעבודת הוועדה בעניין </w:t>
      </w:r>
      <w:r w:rsidRPr="00531BD3">
        <w:rPr>
          <w:rFonts w:ascii="Century" w:hAnsi="Century" w:cs="Miriam" w:hint="cs"/>
          <w:b/>
          <w:spacing w:val="0"/>
          <w:sz w:val="22"/>
          <w:szCs w:val="24"/>
          <w:rtl/>
        </w:rPr>
        <w:t>אסם השקעות</w:t>
      </w:r>
      <w:r w:rsidRPr="00531BD3">
        <w:rPr>
          <w:rFonts w:hint="cs"/>
          <w:rtl/>
        </w:rPr>
        <w:t xml:space="preserve">, בין היתר בקשר להעברת מידע לבעל השליטה, לא הביאו למסקנה כי העסקה אושרה שלא כדין </w:t>
      </w:r>
      <w:r w:rsidRPr="00531BD3">
        <w:rPr>
          <w:rtl/>
        </w:rPr>
        <w:t>–</w:t>
      </w:r>
      <w:r w:rsidRPr="00531BD3">
        <w:rPr>
          <w:rFonts w:hint="cs"/>
          <w:rtl/>
        </w:rPr>
        <w:t xml:space="preserve"> אינה מלמדת על דרך "הקל וחומר" כי העברת מידע כבענייננו אינה יכולה לעלות לכדי עבירה פלילית. ההשלכות שיש לזליגת מידע מהוועדה על תוצאת העסקה בכל הנוגע לאישורה </w:t>
      </w:r>
      <w:r w:rsidRPr="00531BD3">
        <w:rPr>
          <w:rtl/>
        </w:rPr>
        <w:t>–</w:t>
      </w:r>
      <w:r w:rsidRPr="00531BD3">
        <w:rPr>
          <w:rFonts w:hint="cs"/>
          <w:rtl/>
        </w:rPr>
        <w:t xml:space="preserve"> לחוד; וההשלכות לעניין הפרת חובות (האזרחיות כמו גם הפליליות) בעל השליטה ובעלי עניין נוספים </w:t>
      </w:r>
      <w:r w:rsidRPr="00531BD3">
        <w:rPr>
          <w:rtl/>
        </w:rPr>
        <w:t>–</w:t>
      </w:r>
      <w:r w:rsidRPr="00531BD3">
        <w:rPr>
          <w:rFonts w:hint="cs"/>
          <w:rtl/>
        </w:rPr>
        <w:t xml:space="preserve"> לחוד.</w:t>
      </w:r>
    </w:p>
    <w:p w:rsidR="008A4DD4" w:rsidRPr="00531BD3" w:rsidRDefault="008A4DD4" w:rsidP="008A4DD4">
      <w:pPr>
        <w:pStyle w:val="Ruller41"/>
      </w:pPr>
    </w:p>
    <w:p w:rsidR="008A4DD4" w:rsidRPr="00531BD3" w:rsidRDefault="008A4DD4" w:rsidP="008A4DD4">
      <w:pPr>
        <w:pStyle w:val="Ruller4"/>
        <w:rPr>
          <w:rFonts w:ascii="Century" w:hAnsi="Century"/>
          <w:sz w:val="22"/>
          <w:rtl/>
        </w:rPr>
      </w:pPr>
      <w:r w:rsidRPr="00531BD3">
        <w:rPr>
          <w:rFonts w:hint="cs"/>
          <w:rtl/>
        </w:rPr>
        <w:t>ובאשר לקביעה כי ב"זמן אמת" לא חלשה חובת סודיות על דיוני הוועדה. קביעה זו מבוססת על ההנחה כי הפסיקה עליה הצביעה המערערת בקשר להכרה בחובת סודיות החלה על דיוני הוועדה, מהווה התפתחות שבדין אשר אירעה רק לאחר התרחשות האירועים מושא כתב האישום ולכן לא ניתן להרשיע את המשיבים בהתבסס על חובה שטרם באה לעולם. ברם, כאמור לעיל, ההכרה בא</w:t>
      </w:r>
      <w:r w:rsidRPr="00531BD3">
        <w:rPr>
          <w:rFonts w:ascii="Century" w:hAnsi="Century" w:hint="cs"/>
          <w:rtl/>
        </w:rPr>
        <w:t>למנט של הפרדה ברורה של בעלי העניין</w:t>
      </w:r>
      <w:r w:rsidRPr="00531BD3">
        <w:rPr>
          <w:rFonts w:hint="cs"/>
          <w:rtl/>
        </w:rPr>
        <w:t xml:space="preserve"> נגזרת מ</w:t>
      </w:r>
      <w:r w:rsidRPr="00531BD3">
        <w:rPr>
          <w:rFonts w:ascii="Century" w:hAnsi="Century" w:hint="cs"/>
          <w:sz w:val="22"/>
          <w:rtl/>
        </w:rPr>
        <w:t xml:space="preserve">ן ההנחה שמדובר באחד ממאפייניה הבסיסיים והיסודיים של הוועדה. שכן, בהיעדר הפרדה ברורה בין עבודת הוועדה לבין בעל השליטה ויתר נושאי המשרה הנמצאים בניגוד עניינים, נשמט הבסיס לעצם קיומה של הוועדה כמוסד שנועד לנטרל את החשש מניצול כוחם של בעלי הכוח בחברה. על כן, גם אם הצהרה מפורשת בפסיקה בדבר קיומה של חובה כאמור נעשתה רק </w:t>
      </w:r>
      <w:r w:rsidRPr="00531BD3">
        <w:rPr>
          <w:rFonts w:ascii="Century" w:hAnsi="Century" w:cs="Miriam" w:hint="cs"/>
          <w:b/>
          <w:spacing w:val="0"/>
          <w:sz w:val="22"/>
          <w:szCs w:val="24"/>
          <w:rtl/>
        </w:rPr>
        <w:t>לאחר</w:t>
      </w:r>
      <w:r w:rsidRPr="00531BD3">
        <w:rPr>
          <w:rFonts w:ascii="Century" w:hAnsi="Century" w:hint="cs"/>
          <w:sz w:val="22"/>
          <w:rtl/>
        </w:rPr>
        <w:t xml:space="preserve"> שאירעו האירועים מושא כתב האישום, בשל צורך שהתעורר במועד מאוחר יותר, אין משמעות הדבר כי מאפייניה של ועדה כזו </w:t>
      </w:r>
      <w:r w:rsidRPr="00531BD3">
        <w:rPr>
          <w:rFonts w:ascii="Century" w:hAnsi="Century" w:hint="cs"/>
          <w:sz w:val="22"/>
          <w:rtl/>
        </w:rPr>
        <w:lastRenderedPageBreak/>
        <w:t xml:space="preserve">שהוקמה לצורך נטרול הבעייתיות הטמונה בעסקה עם בעל שליטה, לא כללו רכיב זה או כי ועדה שהוקמה בנסיבות כאלו </w:t>
      </w:r>
      <w:r w:rsidRPr="00531BD3">
        <w:rPr>
          <w:rFonts w:ascii="Century" w:hAnsi="Century" w:cs="Miriam" w:hint="cs"/>
          <w:b/>
          <w:spacing w:val="0"/>
          <w:sz w:val="22"/>
          <w:szCs w:val="24"/>
          <w:rtl/>
        </w:rPr>
        <w:t>לא יכולה</w:t>
      </w:r>
      <w:r w:rsidRPr="00531BD3">
        <w:rPr>
          <w:rFonts w:ascii="Century" w:hAnsi="Century" w:hint="cs"/>
          <w:sz w:val="22"/>
          <w:rtl/>
        </w:rPr>
        <w:t xml:space="preserve"> לכלול רכיב כאמור. אם בכלל, ההיפך הוא הנכון. ניתן לשער כי ועדה שנועדה להתמודד עם ניגוד העניינים האמור אכן כוללת בתוכה רכיב מרכזי זה של היבדלות מבעלי העניין, גם במישור מסירת המידע. אולם לא בהשערות עסקינן. תשובה לשאלה אם אכן כך הדבר במקרה הנתון, בוודאי לצורך הרשעה בפלילים, צריכה כאמור להינתן בהתחשב </w:t>
      </w:r>
      <w:r w:rsidRPr="00531BD3">
        <w:rPr>
          <w:rFonts w:ascii="Century" w:hAnsi="Century" w:hint="eastAsia"/>
          <w:sz w:val="22"/>
          <w:rtl/>
        </w:rPr>
        <w:t>בתמונה</w:t>
      </w:r>
      <w:r w:rsidRPr="00531BD3">
        <w:rPr>
          <w:rFonts w:ascii="Century" w:hAnsi="Century" w:hint="cs"/>
          <w:sz w:val="22"/>
          <w:rtl/>
        </w:rPr>
        <w:t xml:space="preserve"> </w:t>
      </w:r>
      <w:r w:rsidRPr="00531BD3">
        <w:rPr>
          <w:rFonts w:ascii="Century" w:hAnsi="Century" w:hint="eastAsia"/>
          <w:sz w:val="22"/>
          <w:rtl/>
        </w:rPr>
        <w:t>העובדתית</w:t>
      </w:r>
      <w:r w:rsidRPr="00531BD3">
        <w:rPr>
          <w:rFonts w:ascii="Century" w:hAnsi="Century" w:cs="Miriam" w:hint="cs"/>
          <w:b/>
          <w:spacing w:val="0"/>
          <w:sz w:val="22"/>
          <w:szCs w:val="24"/>
          <w:rtl/>
        </w:rPr>
        <w:t xml:space="preserve"> </w:t>
      </w:r>
      <w:r w:rsidRPr="00531BD3">
        <w:rPr>
          <w:rFonts w:ascii="Century" w:hAnsi="Century" w:hint="cs"/>
          <w:sz w:val="22"/>
          <w:rtl/>
        </w:rPr>
        <w:t xml:space="preserve">השלמה המתבררת לא רק על רקע אופייה של הוועדה והקמתה בצל חובותיהם של בעלי העניין כלפי החברה במישור האזרחי, אלא גם בהתייחס לתמונה העובדתית הקונקרטית של נסיבות המקרה הנתון. כאמור לעיל, על פני הדברים, תמונה עובדתית כזו אכן פורטה בכתב האישום, בהתחשב במצגים השונים שהציג הדירקטוריון בעת הקמת הוועדה; במצגים שהציגה הוועדה וגורמים שונים בה; במצג שניתן בדוח העסקה בהתייחס לאופן פעולת הוועדה; בהתנהלות של בעלי העניין להסתרת המידע וכן הלאה. השאלה האם חולשת חובת סודיות אינה זהה לשאלה האם במקרה זה פעלו המשיבים במרמה, תוך הפרת מצג ברור של הפרדתם ומידורם מתכני העסקה. אם כי קיומה של חובת סודיות בדין האזרחי כאמור, כנגזרת ממאפייניה הבסיסיים של הוועדה, עשויה לעמוד ברקע לבחינת תמונת הדברים העובדתית השלמה, כפי שזו </w:t>
      </w:r>
      <w:r>
        <w:rPr>
          <w:rFonts w:ascii="Century" w:hAnsi="Century" w:hint="cs"/>
          <w:sz w:val="22"/>
          <w:rtl/>
        </w:rPr>
        <w:t xml:space="preserve">אכן </w:t>
      </w:r>
      <w:r w:rsidRPr="00531BD3">
        <w:rPr>
          <w:rFonts w:ascii="Century" w:hAnsi="Century" w:hint="cs"/>
          <w:sz w:val="22"/>
          <w:rtl/>
        </w:rPr>
        <w:t xml:space="preserve">מפורטת בכתב האישום. </w:t>
      </w:r>
    </w:p>
    <w:p w:rsidR="008A4DD4" w:rsidRPr="00531BD3" w:rsidRDefault="008A4DD4" w:rsidP="008A4DD4">
      <w:pPr>
        <w:pStyle w:val="Ruller41"/>
        <w:rPr>
          <w:rtl/>
        </w:rPr>
      </w:pPr>
    </w:p>
    <w:p w:rsidR="008A4DD4" w:rsidRPr="00531BD3" w:rsidRDefault="008A4DD4" w:rsidP="008A4DD4">
      <w:pPr>
        <w:pStyle w:val="Ruller41"/>
        <w:rPr>
          <w:rtl/>
        </w:rPr>
      </w:pPr>
      <w:r w:rsidRPr="00531BD3">
        <w:rPr>
          <w:rtl/>
        </w:rPr>
        <w:tab/>
      </w:r>
      <w:r w:rsidRPr="00531BD3">
        <w:rPr>
          <w:rFonts w:hint="cs"/>
          <w:rtl/>
        </w:rPr>
        <w:t xml:space="preserve">במאמר מוסגר אציין כי לעמדת המשיבים נייר העמדה שפרסמה הרשות לניירות ערך ובו צוין כי על הוועדה לקבוע הסדרים לשמירה על "סודיות דיוניה וסודיות המידע" המשמש אותה, תומך בטענה כי קודם לפרסום נייר עמדה זה בשנת 2020 שרר אי-בהירות בנוגע לסוגיית סודיות הוועדה. בעניין זה אינני סבור כי יש בנייר העמדה כדי להטות את הכף לכאן או לכאן. אין מקום לדלות מתוך הבהרה פרשנית של רגולטור, במסמך שאינו בעל תוקף נורמטיבי מחייב, מסקנה באשר לבהירות הדין שקדם לו (וראו למשל: </w:t>
      </w:r>
      <w:r w:rsidRPr="00531BD3">
        <w:rPr>
          <w:rFonts w:hint="eastAsia"/>
          <w:rtl/>
        </w:rPr>
        <w:t>ע</w:t>
      </w:r>
      <w:r w:rsidRPr="00531BD3">
        <w:rPr>
          <w:rFonts w:hint="cs"/>
          <w:rtl/>
        </w:rPr>
        <w:t>"</w:t>
      </w:r>
      <w:r w:rsidRPr="00531BD3">
        <w:rPr>
          <w:rFonts w:hint="eastAsia"/>
          <w:rtl/>
        </w:rPr>
        <w:t>פ</w:t>
      </w:r>
      <w:r w:rsidRPr="00531BD3">
        <w:rPr>
          <w:rtl/>
        </w:rPr>
        <w:t xml:space="preserve"> </w:t>
      </w:r>
      <w:r w:rsidRPr="00531BD3">
        <w:rPr>
          <w:rFonts w:hint="cs"/>
          <w:rtl/>
        </w:rPr>
        <w:t xml:space="preserve">עניין </w:t>
      </w:r>
      <w:r w:rsidRPr="00531BD3">
        <w:rPr>
          <w:rFonts w:ascii="Century" w:hAnsi="Century" w:cs="Miriam" w:hint="eastAsia"/>
          <w:b/>
          <w:spacing w:val="0"/>
          <w:szCs w:val="24"/>
          <w:rtl/>
        </w:rPr>
        <w:t>אדרי</w:t>
      </w:r>
      <w:r w:rsidRPr="00531BD3">
        <w:rPr>
          <w:rFonts w:hint="cs"/>
          <w:rtl/>
        </w:rPr>
        <w:t xml:space="preserve">, פסקה 43 לפסק דינו של השופט </w:t>
      </w:r>
      <w:r w:rsidRPr="00531BD3">
        <w:rPr>
          <w:rFonts w:ascii="Century" w:hAnsi="Century" w:cs="Miriam" w:hint="cs"/>
          <w:b/>
          <w:spacing w:val="0"/>
          <w:szCs w:val="24"/>
          <w:rtl/>
        </w:rPr>
        <w:t>נ' סולברג</w:t>
      </w:r>
      <w:r w:rsidRPr="00531BD3">
        <w:rPr>
          <w:rFonts w:hint="cs"/>
          <w:rtl/>
        </w:rPr>
        <w:t>). הוא הדין גם בקשר לאופן שבו לקח בית המשפט בחשבון את נייר העמדה בהתייחס לסוגיית הדיווח, כפי שיפורט בהמשך.</w:t>
      </w:r>
    </w:p>
    <w:p w:rsidR="008A4DD4" w:rsidRPr="00531BD3" w:rsidRDefault="008A4DD4" w:rsidP="008A4DD4">
      <w:pPr>
        <w:pStyle w:val="Ruller41"/>
        <w:rPr>
          <w:rtl/>
        </w:rPr>
      </w:pPr>
    </w:p>
    <w:p w:rsidR="008A4DD4" w:rsidRPr="00531BD3" w:rsidRDefault="008A4DD4" w:rsidP="008A4DD4">
      <w:pPr>
        <w:pStyle w:val="Ruller4"/>
        <w:rPr>
          <w:rtl/>
        </w:rPr>
      </w:pPr>
      <w:r w:rsidRPr="00531BD3">
        <w:rPr>
          <w:rFonts w:hint="cs"/>
          <w:rtl/>
        </w:rPr>
        <w:t xml:space="preserve">מעבר לכך אוסיף כי התמקדות בשאלה האם במועד מסוים הכיר הדין הישראלי בחובת הסודיות, מתעלמת מהעובדה שבמהלך חודש ינואר 2014, בזמן דיוני הוועדה בעסקת בזק-יס, נכנס לתוקף סעיף 117(1ב) לחוק החברות שהוסיף כאמור לתפקידי ועדת הביקורת לגבי עסקה כגון זו את החובה לקיים "הליך תחרותי". על כן, גם אם היקפה של החובה הנגזרת מהוראה זו טרם נדונה באופן מפורש בפסיקת בית משפט זה, העובדה שבאותה עת חלה חובה לקיים "הליך תחרותי" גם היא תומכת על פניו במסקנה כי </w:t>
      </w:r>
      <w:r w:rsidRPr="00531BD3">
        <w:rPr>
          <w:rFonts w:hint="cs"/>
          <w:rtl/>
        </w:rPr>
        <w:lastRenderedPageBreak/>
        <w:t xml:space="preserve">הרחקת, מידור והפרדת בעלי העניין מהעסקה הייתה, לכל הפחות על פי הדין האזרחי, הכרחית. </w:t>
      </w:r>
    </w:p>
    <w:p w:rsidR="008A4DD4" w:rsidRPr="00531BD3" w:rsidRDefault="008A4DD4" w:rsidP="008A4DD4">
      <w:pPr>
        <w:pStyle w:val="Ruller41"/>
      </w:pPr>
    </w:p>
    <w:p w:rsidR="008A4DD4" w:rsidRPr="00531BD3" w:rsidRDefault="008A4DD4" w:rsidP="008A4DD4">
      <w:pPr>
        <w:pStyle w:val="Ruller4"/>
        <w:rPr>
          <w:rtl/>
        </w:rPr>
      </w:pPr>
      <w:r w:rsidRPr="00531BD3">
        <w:rPr>
          <w:rFonts w:hint="cs"/>
          <w:rtl/>
        </w:rPr>
        <w:t xml:space="preserve">עוד אציין בשולי הדברים כי לא ניתן לקבל את טענת משיב 3, שנטענה בבית המשפט המחוזי ועליה חזר בהליך שלפנינו, כי הוא כלל לא חב בחובות אמונים כלפי בזק. משיב 3 אינו יכול "להתנער" מחובותיו כלפי בזק באמתלה כי עצם הקמת הוועדה משמעותה הגדרתו כצד "חיצוני" לבזק תוך "צמצום" חובות האמונים שלו במסגרת העסקה לקבוצת יורוקום לבדה. עצם הקמת הוועדה אין בו כדי לאיין חובות כלשהן המוטלות על אדם בשל נשיאתו במשרה או בתפקיד מסוים. העובדה שמשיב 3 היה מצוי באותה עסקה "בצדו השני של המשא ומתן" אין משמעותה כי הוא היה חופשי לחתור תחת האינטרסים של בזק ללא סייג, משוחרר מכל חובות אמון כלפיה. הקמת הוועדה נועדה לנטרל את </w:t>
      </w:r>
      <w:r w:rsidRPr="00531BD3">
        <w:rPr>
          <w:rFonts w:ascii="Century" w:hAnsi="Century" w:cs="Miriam" w:hint="cs"/>
          <w:b/>
          <w:spacing w:val="0"/>
          <w:sz w:val="22"/>
          <w:szCs w:val="24"/>
          <w:rtl/>
        </w:rPr>
        <w:t>ניגוד העניינים</w:t>
      </w:r>
      <w:r w:rsidRPr="00531BD3">
        <w:rPr>
          <w:rFonts w:hint="cs"/>
          <w:rtl/>
        </w:rPr>
        <w:t>, ולא נועדה, וממילא לא היה בכוחה, לנטרל זיקות הנובעות מהדין בין בזק למשיבים.</w:t>
      </w:r>
    </w:p>
    <w:p w:rsidR="008A4DD4" w:rsidRPr="00531BD3" w:rsidRDefault="008A4DD4" w:rsidP="008A4DD4">
      <w:pPr>
        <w:pStyle w:val="Ruller41"/>
        <w:rPr>
          <w:rtl/>
        </w:rPr>
      </w:pPr>
    </w:p>
    <w:p w:rsidR="008A4DD4" w:rsidRPr="00531BD3" w:rsidRDefault="008A4DD4" w:rsidP="008A4DD4">
      <w:pPr>
        <w:pStyle w:val="Ruller4"/>
        <w:rPr>
          <w:rtl/>
        </w:rPr>
      </w:pPr>
      <w:r w:rsidRPr="00531BD3">
        <w:rPr>
          <w:rFonts w:hint="cs"/>
          <w:rtl/>
        </w:rPr>
        <w:t xml:space="preserve">בעלי העניין מדגישים כי בשונה מפרשות אחרות שבהן הורשעו נאשמים בעבירה זו (למשל, בעניין </w:t>
      </w:r>
      <w:r w:rsidRPr="00531BD3">
        <w:rPr>
          <w:rFonts w:ascii="Century" w:hAnsi="Century" w:cs="Miriam" w:hint="cs"/>
          <w:b/>
          <w:spacing w:val="0"/>
          <w:sz w:val="22"/>
          <w:szCs w:val="24"/>
          <w:rtl/>
        </w:rPr>
        <w:t>דנקנר</w:t>
      </w:r>
      <w:r w:rsidRPr="00531BD3">
        <w:rPr>
          <w:rFonts w:hint="cs"/>
          <w:rtl/>
        </w:rPr>
        <w:t xml:space="preserve"> ו</w:t>
      </w:r>
      <w:r>
        <w:rPr>
          <w:rFonts w:hint="cs"/>
          <w:rtl/>
        </w:rPr>
        <w:t xml:space="preserve">בעניין </w:t>
      </w:r>
      <w:r w:rsidRPr="00CD394B">
        <w:rPr>
          <w:rFonts w:ascii="Century" w:hAnsi="Century" w:cs="Miriam" w:hint="cs"/>
          <w:b/>
          <w:spacing w:val="0"/>
          <w:sz w:val="22"/>
          <w:szCs w:val="24"/>
          <w:rtl/>
        </w:rPr>
        <w:t>חסן</w:t>
      </w:r>
      <w:r w:rsidRPr="00531BD3">
        <w:rPr>
          <w:rFonts w:hint="cs"/>
          <w:rtl/>
        </w:rPr>
        <w:t xml:space="preserve">), עצם ההימצאות בניגוד עניינים במקרה זה היה ידוע לכל, ולכן לא ניתן לקבוע כי מתקיימים יסודות העבירה של מרמה והפרת אמונים </w:t>
      </w:r>
      <w:r w:rsidR="00292D98">
        <w:rPr>
          <w:rFonts w:hint="cs"/>
          <w:rtl/>
        </w:rPr>
        <w:t xml:space="preserve">בתאגיד </w:t>
      </w:r>
      <w:r w:rsidRPr="00531BD3">
        <w:rPr>
          <w:rFonts w:hint="cs"/>
          <w:rtl/>
        </w:rPr>
        <w:t xml:space="preserve">רק בשל עצם ההימצאות בניגוד עניינים כאמור. גם בהחלטת בית המשפט המחוזי ניתן דגש לכך שניגוד העניינים במקרה זה היה ידוע וגלוי, בניגוד למצבים אחרים שבהם הורשעו נאשמים בעבירה זו. אולם בעניין זה יש להבחין בין ניגוד העניינים </w:t>
      </w:r>
      <w:r w:rsidRPr="00531BD3">
        <w:rPr>
          <w:rFonts w:ascii="Century" w:hAnsi="Century" w:cs="Miriam" w:hint="cs"/>
          <w:b/>
          <w:spacing w:val="0"/>
          <w:sz w:val="22"/>
          <w:szCs w:val="24"/>
          <w:rtl/>
        </w:rPr>
        <w:t>הגלוי</w:t>
      </w:r>
      <w:r w:rsidRPr="00531BD3">
        <w:rPr>
          <w:rFonts w:hint="cs"/>
          <w:rtl/>
        </w:rPr>
        <w:t xml:space="preserve"> אשר הביא לנקיטת צעדים ופעולות על ידי החברה במטרה להביא לנטרולו (למשל, באמצעות הקמת ועדה מיוחדת); לבין ניגוד העניינים ה"</w:t>
      </w:r>
      <w:r w:rsidRPr="00531BD3">
        <w:rPr>
          <w:rFonts w:ascii="Century" w:hAnsi="Century" w:cs="Miriam" w:hint="cs"/>
          <w:b/>
          <w:spacing w:val="0"/>
          <w:sz w:val="22"/>
          <w:szCs w:val="24"/>
          <w:rtl/>
        </w:rPr>
        <w:t>נסתר</w:t>
      </w:r>
      <w:r w:rsidRPr="00531BD3">
        <w:rPr>
          <w:rFonts w:hint="cs"/>
          <w:rtl/>
        </w:rPr>
        <w:t xml:space="preserve">", שהתבטא בפעולות שננקטו על ידי המשיבים (על פי עובדות כתב האישום) אשר הלכה למעשה חתרו תחת מנגנוני </w:t>
      </w:r>
      <w:r w:rsidRPr="00531BD3">
        <w:rPr>
          <w:rFonts w:ascii="Century" w:hAnsi="Century" w:cs="Miriam" w:hint="cs"/>
          <w:b/>
          <w:spacing w:val="0"/>
          <w:sz w:val="22"/>
          <w:szCs w:val="24"/>
          <w:rtl/>
        </w:rPr>
        <w:t>הנטרול</w:t>
      </w:r>
      <w:r w:rsidRPr="00531BD3">
        <w:rPr>
          <w:rFonts w:hint="cs"/>
          <w:rtl/>
        </w:rPr>
        <w:t xml:space="preserve"> שנוצרו לשם התמודדות עם אותו ניגוד עניינים גלוי. אם אכן יוכח, כפי שמצביעות עובדות כתב האישום, כי בעלי העניין קיבלו מידע חסוי ועשו בו שימוש לצורך השגת יתרון עבור הצד השני לעסקה, ברי כי מדובר בפעולה בניגוד עניינים. העובדה שניגוד העניינים </w:t>
      </w:r>
      <w:r w:rsidRPr="00531BD3">
        <w:rPr>
          <w:rFonts w:ascii="Century" w:hAnsi="Century" w:cs="Miriam" w:hint="cs"/>
          <w:b/>
          <w:spacing w:val="0"/>
          <w:sz w:val="22"/>
          <w:szCs w:val="24"/>
          <w:rtl/>
        </w:rPr>
        <w:t>המובנה</w:t>
      </w:r>
      <w:r w:rsidRPr="00531BD3">
        <w:rPr>
          <w:rFonts w:hint="cs"/>
          <w:rtl/>
        </w:rPr>
        <w:t xml:space="preserve"> שבו היו מצויים בעלי העניין היה ידוע ולא נעשו מטבע הדברים פעולות להסתרתו, אינה מעלה ואינה מורידה בהקשר זה, ואין משמעותה כי המשיבים לא פעלו בניגוד עניינים, בדרך אחרת, נסתרת.</w:t>
      </w:r>
    </w:p>
    <w:p w:rsidR="008A4DD4" w:rsidRPr="00531BD3" w:rsidRDefault="008A4DD4" w:rsidP="008A4DD4">
      <w:pPr>
        <w:pStyle w:val="Ruller41"/>
        <w:rPr>
          <w:rtl/>
        </w:rPr>
      </w:pPr>
    </w:p>
    <w:p w:rsidR="008A4DD4" w:rsidRPr="00531BD3" w:rsidRDefault="008A4DD4" w:rsidP="008A4DD4">
      <w:pPr>
        <w:pStyle w:val="Ruller41"/>
        <w:rPr>
          <w:rFonts w:ascii="Century" w:hAnsi="Century" w:cs="Miriam"/>
          <w:b/>
          <w:spacing w:val="0"/>
          <w:szCs w:val="24"/>
          <w:rtl/>
        </w:rPr>
      </w:pPr>
      <w:r w:rsidRPr="00531BD3">
        <w:rPr>
          <w:rFonts w:ascii="Century" w:hAnsi="Century" w:cs="Miriam" w:hint="cs"/>
          <w:b/>
          <w:spacing w:val="0"/>
          <w:szCs w:val="24"/>
          <w:rtl/>
        </w:rPr>
        <w:t>קבלת דבר במרמה</w:t>
      </w:r>
    </w:p>
    <w:p w:rsidR="008A4DD4" w:rsidRPr="00531BD3" w:rsidRDefault="008A4DD4" w:rsidP="008A4DD4">
      <w:pPr>
        <w:pStyle w:val="Ruller4"/>
        <w:rPr>
          <w:rtl/>
        </w:rPr>
      </w:pPr>
      <w:r w:rsidRPr="00531BD3">
        <w:rPr>
          <w:rFonts w:hint="cs"/>
          <w:rtl/>
        </w:rPr>
        <w:t>ובאשר לעבירת הקבלת דבר במרמה. נציין בקצרה כי כדי שתש</w:t>
      </w:r>
      <w:r w:rsidR="00292D98">
        <w:rPr>
          <w:rFonts w:hint="cs"/>
          <w:rtl/>
        </w:rPr>
        <w:t>ת</w:t>
      </w:r>
      <w:r w:rsidRPr="00531BD3">
        <w:rPr>
          <w:rFonts w:hint="cs"/>
          <w:rtl/>
        </w:rPr>
        <w:t xml:space="preserve">כלל עבירה זו יש להוכיח כי הוצג מצג מרמה ונתקבל דבר מה מכוח אותו מצג. המצג יכול להיעשות בדרכים שונות, גם בעל-פה או בהתנהגות, וגם על דרך המחדל, היינו באמצעות העלמת </w:t>
      </w:r>
      <w:r w:rsidRPr="00531BD3">
        <w:rPr>
          <w:rFonts w:hint="cs"/>
          <w:rtl/>
        </w:rPr>
        <w:lastRenderedPageBreak/>
        <w:t>עובדה שהנסיבות דורשות להציגה (ע"</w:t>
      </w:r>
      <w:r w:rsidRPr="00531BD3">
        <w:rPr>
          <w:rFonts w:hint="eastAsia"/>
          <w:rtl/>
        </w:rPr>
        <w:t>פ</w:t>
      </w:r>
      <w:r w:rsidRPr="00531BD3">
        <w:rPr>
          <w:rtl/>
        </w:rPr>
        <w:t xml:space="preserve"> 8080/12 </w:t>
      </w:r>
      <w:r w:rsidRPr="00531BD3">
        <w:rPr>
          <w:rFonts w:ascii="Century" w:hAnsi="Century" w:cs="Miriam" w:hint="eastAsia"/>
          <w:spacing w:val="0"/>
          <w:szCs w:val="24"/>
          <w:rtl/>
        </w:rPr>
        <w:t>מדינת</w:t>
      </w:r>
      <w:r w:rsidRPr="00531BD3">
        <w:rPr>
          <w:rFonts w:ascii="Century" w:hAnsi="Century" w:cs="Miriam"/>
          <w:spacing w:val="0"/>
          <w:szCs w:val="24"/>
          <w:rtl/>
        </w:rPr>
        <w:t xml:space="preserve"> </w:t>
      </w:r>
      <w:r w:rsidRPr="00531BD3">
        <w:rPr>
          <w:rFonts w:ascii="Century" w:hAnsi="Century" w:cs="Miriam" w:hint="eastAsia"/>
          <w:spacing w:val="0"/>
          <w:szCs w:val="24"/>
          <w:rtl/>
        </w:rPr>
        <w:t>ישראל</w:t>
      </w:r>
      <w:r w:rsidRPr="00531BD3">
        <w:rPr>
          <w:rFonts w:ascii="Century" w:hAnsi="Century" w:cs="Miriam"/>
          <w:spacing w:val="0"/>
          <w:szCs w:val="24"/>
          <w:rtl/>
        </w:rPr>
        <w:t xml:space="preserve"> </w:t>
      </w:r>
      <w:r w:rsidRPr="00531BD3">
        <w:rPr>
          <w:rFonts w:ascii="Century" w:hAnsi="Century" w:cs="Miriam" w:hint="eastAsia"/>
          <w:spacing w:val="0"/>
          <w:szCs w:val="24"/>
          <w:rtl/>
        </w:rPr>
        <w:t>נ</w:t>
      </w:r>
      <w:r w:rsidRPr="00531BD3">
        <w:rPr>
          <w:rFonts w:ascii="Century" w:hAnsi="Century" w:cs="Miriam"/>
          <w:spacing w:val="0"/>
          <w:szCs w:val="24"/>
          <w:rtl/>
        </w:rPr>
        <w:t xml:space="preserve">' </w:t>
      </w:r>
      <w:r w:rsidRPr="00531BD3">
        <w:rPr>
          <w:rFonts w:ascii="Century" w:hAnsi="Century" w:cs="Miriam" w:hint="eastAsia"/>
          <w:spacing w:val="0"/>
          <w:szCs w:val="24"/>
          <w:rtl/>
        </w:rPr>
        <w:t>אולמרט</w:t>
      </w:r>
      <w:r w:rsidRPr="00531BD3">
        <w:rPr>
          <w:rFonts w:hint="cs"/>
          <w:rtl/>
        </w:rPr>
        <w:t xml:space="preserve">, פסקה 122 (28.9.2016); עניין </w:t>
      </w:r>
      <w:r w:rsidRPr="00531BD3">
        <w:rPr>
          <w:rFonts w:ascii="Century" w:hAnsi="Century" w:cs="Miriam" w:hint="cs"/>
          <w:b/>
          <w:spacing w:val="0"/>
          <w:sz w:val="22"/>
          <w:szCs w:val="24"/>
          <w:rtl/>
        </w:rPr>
        <w:t>אדרי</w:t>
      </w:r>
      <w:r w:rsidRPr="00531BD3">
        <w:rPr>
          <w:rFonts w:hint="cs"/>
          <w:rtl/>
        </w:rPr>
        <w:t xml:space="preserve">, פסקה 99 לפסק דינו של השופט </w:t>
      </w:r>
      <w:r w:rsidRPr="00531BD3">
        <w:rPr>
          <w:rFonts w:ascii="Century" w:hAnsi="Century" w:cs="Miriam" w:hint="cs"/>
          <w:b/>
          <w:spacing w:val="0"/>
          <w:sz w:val="22"/>
          <w:szCs w:val="24"/>
          <w:rtl/>
        </w:rPr>
        <w:t>נ' סולברג</w:t>
      </w:r>
      <w:r w:rsidRPr="00531BD3">
        <w:rPr>
          <w:rFonts w:hint="cs"/>
          <w:rtl/>
        </w:rPr>
        <w:t xml:space="preserve">). מכיוון שמדובר בעבירה </w:t>
      </w:r>
      <w:proofErr w:type="spellStart"/>
      <w:r w:rsidRPr="00531BD3">
        <w:rPr>
          <w:rFonts w:hint="cs"/>
          <w:rtl/>
        </w:rPr>
        <w:t>תוצאתית</w:t>
      </w:r>
      <w:proofErr w:type="spellEnd"/>
      <w:r w:rsidRPr="00531BD3">
        <w:rPr>
          <w:rFonts w:hint="cs"/>
          <w:rtl/>
        </w:rPr>
        <w:t>, יש להוכיח קיומו של קשר סיבתי בין המצג לבין קבלת ה"דבר" (</w:t>
      </w:r>
      <w:r w:rsidRPr="00531BD3">
        <w:rPr>
          <w:rFonts w:hint="eastAsia"/>
          <w:rtl/>
        </w:rPr>
        <w:t>ע</w:t>
      </w:r>
      <w:r w:rsidRPr="00531BD3">
        <w:rPr>
          <w:rFonts w:hint="cs"/>
          <w:rtl/>
        </w:rPr>
        <w:t>"</w:t>
      </w:r>
      <w:r w:rsidRPr="00531BD3">
        <w:rPr>
          <w:rFonts w:hint="eastAsia"/>
          <w:rtl/>
        </w:rPr>
        <w:t>פ</w:t>
      </w:r>
      <w:r w:rsidRPr="00531BD3">
        <w:rPr>
          <w:rtl/>
        </w:rPr>
        <w:t xml:space="preserve"> 3517/11 </w:t>
      </w:r>
      <w:r w:rsidRPr="00531BD3">
        <w:rPr>
          <w:rFonts w:ascii="Century" w:hAnsi="Century" w:cs="Miriam" w:hint="eastAsia"/>
          <w:b/>
          <w:spacing w:val="0"/>
          <w:sz w:val="22"/>
          <w:szCs w:val="24"/>
          <w:rtl/>
        </w:rPr>
        <w:t>שמשון</w:t>
      </w:r>
      <w:r w:rsidRPr="00531BD3">
        <w:rPr>
          <w:rFonts w:ascii="Century" w:hAnsi="Century" w:cs="Miriam"/>
          <w:b/>
          <w:spacing w:val="0"/>
          <w:sz w:val="22"/>
          <w:szCs w:val="24"/>
          <w:rtl/>
        </w:rPr>
        <w:t xml:space="preserve"> </w:t>
      </w:r>
      <w:r w:rsidRPr="00531BD3">
        <w:rPr>
          <w:rFonts w:ascii="Century" w:hAnsi="Century" w:cs="Miriam" w:hint="eastAsia"/>
          <w:b/>
          <w:spacing w:val="0"/>
          <w:sz w:val="22"/>
          <w:szCs w:val="24"/>
          <w:rtl/>
        </w:rPr>
        <w:t>נ</w:t>
      </w:r>
      <w:r w:rsidRPr="00531BD3">
        <w:rPr>
          <w:rFonts w:ascii="Century" w:hAnsi="Century" w:cs="Miriam"/>
          <w:b/>
          <w:spacing w:val="0"/>
          <w:sz w:val="22"/>
          <w:szCs w:val="24"/>
          <w:rtl/>
        </w:rPr>
        <w:t xml:space="preserve">' </w:t>
      </w:r>
      <w:r w:rsidRPr="00531BD3">
        <w:rPr>
          <w:rFonts w:ascii="Century" w:hAnsi="Century" w:cs="Miriam" w:hint="eastAsia"/>
          <w:b/>
          <w:spacing w:val="0"/>
          <w:sz w:val="22"/>
          <w:szCs w:val="24"/>
          <w:rtl/>
        </w:rPr>
        <w:t>מדינת</w:t>
      </w:r>
      <w:r w:rsidRPr="00531BD3">
        <w:rPr>
          <w:rFonts w:ascii="Century" w:hAnsi="Century" w:cs="Miriam"/>
          <w:b/>
          <w:spacing w:val="0"/>
          <w:sz w:val="22"/>
          <w:szCs w:val="24"/>
          <w:rtl/>
        </w:rPr>
        <w:t xml:space="preserve"> </w:t>
      </w:r>
      <w:r w:rsidRPr="00531BD3">
        <w:rPr>
          <w:rFonts w:ascii="Century" w:hAnsi="Century" w:cs="Miriam" w:hint="eastAsia"/>
          <w:b/>
          <w:spacing w:val="0"/>
          <w:sz w:val="22"/>
          <w:szCs w:val="24"/>
          <w:rtl/>
        </w:rPr>
        <w:t>ישראל</w:t>
      </w:r>
      <w:r w:rsidRPr="00531BD3">
        <w:rPr>
          <w:rFonts w:hint="cs"/>
          <w:rtl/>
        </w:rPr>
        <w:t xml:space="preserve">, פסקה 32 (6.3.2013) (להלן: עניין </w:t>
      </w:r>
      <w:r w:rsidRPr="00531BD3">
        <w:rPr>
          <w:rFonts w:ascii="Century" w:hAnsi="Century" w:cs="Miriam" w:hint="cs"/>
          <w:b/>
          <w:spacing w:val="0"/>
          <w:sz w:val="22"/>
          <w:szCs w:val="24"/>
          <w:rtl/>
        </w:rPr>
        <w:t>שמשון</w:t>
      </w:r>
      <w:r w:rsidRPr="00531BD3">
        <w:rPr>
          <w:rFonts w:hint="cs"/>
          <w:rtl/>
        </w:rPr>
        <w:t xml:space="preserve">); </w:t>
      </w:r>
      <w:r w:rsidRPr="00531BD3">
        <w:rPr>
          <w:rFonts w:hint="eastAsia"/>
          <w:rtl/>
        </w:rPr>
        <w:t>ע</w:t>
      </w:r>
      <w:r w:rsidRPr="00531BD3">
        <w:rPr>
          <w:rtl/>
        </w:rPr>
        <w:t>"</w:t>
      </w:r>
      <w:r w:rsidRPr="00531BD3">
        <w:rPr>
          <w:rFonts w:hint="eastAsia"/>
          <w:rtl/>
        </w:rPr>
        <w:t>פ</w:t>
      </w:r>
      <w:r w:rsidRPr="00531BD3">
        <w:rPr>
          <w:rtl/>
        </w:rPr>
        <w:t xml:space="preserve"> 3506/13 </w:t>
      </w:r>
      <w:r w:rsidRPr="00531BD3">
        <w:rPr>
          <w:rFonts w:ascii="Century" w:hAnsi="Century" w:cs="Miriam" w:hint="eastAsia"/>
          <w:b/>
          <w:spacing w:val="0"/>
          <w:sz w:val="22"/>
          <w:szCs w:val="24"/>
          <w:rtl/>
        </w:rPr>
        <w:t>הבי</w:t>
      </w:r>
      <w:r w:rsidRPr="00531BD3">
        <w:rPr>
          <w:rFonts w:ascii="Century" w:hAnsi="Century" w:cs="Miriam"/>
          <w:b/>
          <w:spacing w:val="0"/>
          <w:sz w:val="22"/>
          <w:szCs w:val="24"/>
          <w:rtl/>
        </w:rPr>
        <w:t xml:space="preserve"> </w:t>
      </w:r>
      <w:r w:rsidRPr="00531BD3">
        <w:rPr>
          <w:rFonts w:ascii="Century" w:hAnsi="Century" w:cs="Miriam" w:hint="eastAsia"/>
          <w:b/>
          <w:spacing w:val="0"/>
          <w:sz w:val="22"/>
          <w:szCs w:val="24"/>
          <w:rtl/>
        </w:rPr>
        <w:t>נ</w:t>
      </w:r>
      <w:r w:rsidRPr="00531BD3">
        <w:rPr>
          <w:rFonts w:ascii="Century" w:hAnsi="Century" w:cs="Miriam"/>
          <w:b/>
          <w:spacing w:val="0"/>
          <w:sz w:val="22"/>
          <w:szCs w:val="24"/>
          <w:rtl/>
        </w:rPr>
        <w:t xml:space="preserve">' </w:t>
      </w:r>
      <w:r w:rsidRPr="00531BD3">
        <w:rPr>
          <w:rFonts w:ascii="Century" w:hAnsi="Century" w:cs="Miriam" w:hint="eastAsia"/>
          <w:b/>
          <w:spacing w:val="0"/>
          <w:sz w:val="22"/>
          <w:szCs w:val="24"/>
          <w:rtl/>
        </w:rPr>
        <w:t>מדינת</w:t>
      </w:r>
      <w:r w:rsidRPr="00531BD3">
        <w:rPr>
          <w:rFonts w:ascii="Century" w:hAnsi="Century" w:cs="Miriam"/>
          <w:b/>
          <w:spacing w:val="0"/>
          <w:sz w:val="22"/>
          <w:szCs w:val="24"/>
          <w:rtl/>
        </w:rPr>
        <w:t xml:space="preserve"> </w:t>
      </w:r>
      <w:r w:rsidRPr="00531BD3">
        <w:rPr>
          <w:rFonts w:ascii="Century" w:hAnsi="Century" w:cs="Miriam" w:hint="eastAsia"/>
          <w:b/>
          <w:spacing w:val="0"/>
          <w:sz w:val="22"/>
          <w:szCs w:val="24"/>
          <w:rtl/>
        </w:rPr>
        <w:t>ישראל</w:t>
      </w:r>
      <w:r w:rsidRPr="00531BD3">
        <w:rPr>
          <w:rFonts w:hint="cs"/>
          <w:rtl/>
        </w:rPr>
        <w:t>,</w:t>
      </w:r>
      <w:r w:rsidRPr="00531BD3">
        <w:rPr>
          <w:rtl/>
        </w:rPr>
        <w:t xml:space="preserve"> </w:t>
      </w:r>
      <w:r w:rsidRPr="00531BD3">
        <w:rPr>
          <w:rFonts w:hint="cs"/>
          <w:rtl/>
        </w:rPr>
        <w:t xml:space="preserve">פסקה 480 </w:t>
      </w:r>
      <w:r w:rsidRPr="00531BD3">
        <w:rPr>
          <w:rtl/>
        </w:rPr>
        <w:t>(12.1.2016) (</w:t>
      </w:r>
      <w:r w:rsidRPr="00531BD3">
        <w:rPr>
          <w:rFonts w:hint="eastAsia"/>
          <w:rtl/>
        </w:rPr>
        <w:t>להלן</w:t>
      </w:r>
      <w:r w:rsidRPr="00531BD3">
        <w:rPr>
          <w:rtl/>
        </w:rPr>
        <w:t xml:space="preserve">: </w:t>
      </w:r>
      <w:r w:rsidRPr="00531BD3">
        <w:rPr>
          <w:rFonts w:hint="eastAsia"/>
          <w:rtl/>
        </w:rPr>
        <w:t>עניין</w:t>
      </w:r>
      <w:r w:rsidRPr="00531BD3">
        <w:rPr>
          <w:rtl/>
        </w:rPr>
        <w:t xml:space="preserve"> </w:t>
      </w:r>
      <w:r w:rsidRPr="00531BD3">
        <w:rPr>
          <w:rFonts w:ascii="Century" w:hAnsi="Century" w:cs="Miriam" w:hint="eastAsia"/>
          <w:b/>
          <w:spacing w:val="0"/>
          <w:sz w:val="22"/>
          <w:szCs w:val="24"/>
          <w:rtl/>
        </w:rPr>
        <w:t>הבי</w:t>
      </w:r>
      <w:r w:rsidRPr="00531BD3">
        <w:rPr>
          <w:rtl/>
        </w:rPr>
        <w:t>)</w:t>
      </w:r>
      <w:r w:rsidRPr="00531BD3">
        <w:rPr>
          <w:rFonts w:hint="cs"/>
          <w:rtl/>
        </w:rPr>
        <w:t>), אם כי די בכך שהמצג הכוזב יהיה אחד מן הגורמים שהביאו לקבלת הדבר כדי לעמוד בדרישת הקשר הסיבתי כאמור (</w:t>
      </w:r>
      <w:r w:rsidRPr="00531BD3">
        <w:rPr>
          <w:rFonts w:hint="eastAsia"/>
          <w:rtl/>
        </w:rPr>
        <w:t>ע</w:t>
      </w:r>
      <w:r w:rsidRPr="00531BD3">
        <w:rPr>
          <w:rFonts w:hint="cs"/>
          <w:rtl/>
        </w:rPr>
        <w:t>"</w:t>
      </w:r>
      <w:r w:rsidRPr="00531BD3">
        <w:rPr>
          <w:rFonts w:hint="eastAsia"/>
          <w:rtl/>
        </w:rPr>
        <w:t>פ</w:t>
      </w:r>
      <w:r w:rsidRPr="00531BD3">
        <w:rPr>
          <w:rtl/>
        </w:rPr>
        <w:t xml:space="preserve"> 4190/13 </w:t>
      </w:r>
      <w:r w:rsidRPr="00531BD3">
        <w:rPr>
          <w:rFonts w:ascii="Century" w:hAnsi="Century" w:cs="Miriam" w:hint="eastAsia"/>
          <w:spacing w:val="0"/>
          <w:szCs w:val="24"/>
          <w:rtl/>
        </w:rPr>
        <w:t>סמואל</w:t>
      </w:r>
      <w:r w:rsidRPr="00531BD3">
        <w:rPr>
          <w:rFonts w:ascii="Century" w:hAnsi="Century" w:cs="Miriam"/>
          <w:spacing w:val="0"/>
          <w:szCs w:val="24"/>
          <w:rtl/>
        </w:rPr>
        <w:t xml:space="preserve"> </w:t>
      </w:r>
      <w:r w:rsidRPr="00531BD3">
        <w:rPr>
          <w:rFonts w:ascii="Century" w:hAnsi="Century" w:cs="Miriam" w:hint="eastAsia"/>
          <w:spacing w:val="0"/>
          <w:szCs w:val="24"/>
          <w:rtl/>
        </w:rPr>
        <w:t>נ</w:t>
      </w:r>
      <w:r w:rsidRPr="00531BD3">
        <w:rPr>
          <w:rFonts w:ascii="Century" w:hAnsi="Century" w:cs="Miriam"/>
          <w:spacing w:val="0"/>
          <w:szCs w:val="24"/>
          <w:rtl/>
        </w:rPr>
        <w:t xml:space="preserve">' </w:t>
      </w:r>
      <w:r w:rsidRPr="00531BD3">
        <w:rPr>
          <w:rFonts w:ascii="Century" w:hAnsi="Century" w:cs="Miriam" w:hint="eastAsia"/>
          <w:spacing w:val="0"/>
          <w:szCs w:val="24"/>
          <w:rtl/>
        </w:rPr>
        <w:t>מדינת</w:t>
      </w:r>
      <w:r w:rsidRPr="00531BD3">
        <w:rPr>
          <w:rFonts w:ascii="Century" w:hAnsi="Century" w:cs="Miriam"/>
          <w:spacing w:val="0"/>
          <w:szCs w:val="24"/>
          <w:rtl/>
        </w:rPr>
        <w:t xml:space="preserve"> </w:t>
      </w:r>
      <w:r w:rsidRPr="00531BD3">
        <w:rPr>
          <w:rFonts w:ascii="Century" w:hAnsi="Century" w:cs="Miriam" w:hint="eastAsia"/>
          <w:spacing w:val="0"/>
          <w:szCs w:val="24"/>
          <w:rtl/>
        </w:rPr>
        <w:t>ישראל</w:t>
      </w:r>
      <w:r w:rsidRPr="00531BD3">
        <w:rPr>
          <w:rFonts w:hint="cs"/>
          <w:rtl/>
        </w:rPr>
        <w:t xml:space="preserve">, פסקה 78 (18.11.2014); </w:t>
      </w:r>
      <w:r w:rsidRPr="00531BD3">
        <w:rPr>
          <w:rFonts w:hint="eastAsia"/>
          <w:rtl/>
        </w:rPr>
        <w:t>ע</w:t>
      </w:r>
      <w:r w:rsidRPr="00531BD3">
        <w:rPr>
          <w:rFonts w:hint="cs"/>
          <w:rtl/>
        </w:rPr>
        <w:t>"</w:t>
      </w:r>
      <w:r w:rsidRPr="00531BD3">
        <w:rPr>
          <w:rFonts w:hint="eastAsia"/>
          <w:rtl/>
        </w:rPr>
        <w:t>פ</w:t>
      </w:r>
      <w:r w:rsidRPr="00531BD3">
        <w:rPr>
          <w:rFonts w:hint="cs"/>
          <w:rtl/>
        </w:rPr>
        <w:t xml:space="preserve"> </w:t>
      </w:r>
      <w:r w:rsidRPr="00531BD3">
        <w:rPr>
          <w:rtl/>
        </w:rPr>
        <w:t xml:space="preserve">7621/14 </w:t>
      </w:r>
      <w:proofErr w:type="spellStart"/>
      <w:r w:rsidRPr="00531BD3">
        <w:rPr>
          <w:rFonts w:ascii="Century" w:hAnsi="Century" w:cs="Miriam" w:hint="eastAsia"/>
          <w:b/>
          <w:spacing w:val="0"/>
          <w:sz w:val="22"/>
          <w:szCs w:val="24"/>
          <w:rtl/>
        </w:rPr>
        <w:t>גוטסדינר</w:t>
      </w:r>
      <w:proofErr w:type="spellEnd"/>
      <w:r w:rsidRPr="00531BD3">
        <w:rPr>
          <w:rFonts w:ascii="Century" w:hAnsi="Century" w:cs="Miriam"/>
          <w:b/>
          <w:spacing w:val="0"/>
          <w:sz w:val="22"/>
          <w:szCs w:val="24"/>
          <w:rtl/>
        </w:rPr>
        <w:t xml:space="preserve"> </w:t>
      </w:r>
      <w:r w:rsidRPr="00531BD3">
        <w:rPr>
          <w:rFonts w:ascii="Century" w:hAnsi="Century" w:cs="Miriam" w:hint="eastAsia"/>
          <w:b/>
          <w:spacing w:val="0"/>
          <w:sz w:val="22"/>
          <w:szCs w:val="24"/>
          <w:rtl/>
        </w:rPr>
        <w:t>נ</w:t>
      </w:r>
      <w:r w:rsidRPr="00531BD3">
        <w:rPr>
          <w:rFonts w:ascii="Century" w:hAnsi="Century" w:cs="Miriam"/>
          <w:b/>
          <w:spacing w:val="0"/>
          <w:sz w:val="22"/>
          <w:szCs w:val="24"/>
          <w:rtl/>
        </w:rPr>
        <w:t xml:space="preserve">' </w:t>
      </w:r>
      <w:r w:rsidRPr="00531BD3">
        <w:rPr>
          <w:rFonts w:ascii="Century" w:hAnsi="Century" w:cs="Miriam" w:hint="eastAsia"/>
          <w:b/>
          <w:spacing w:val="0"/>
          <w:sz w:val="22"/>
          <w:szCs w:val="24"/>
          <w:rtl/>
        </w:rPr>
        <w:t>מדינת</w:t>
      </w:r>
      <w:r w:rsidRPr="00531BD3">
        <w:rPr>
          <w:rFonts w:ascii="Century" w:hAnsi="Century" w:cs="Miriam"/>
          <w:b/>
          <w:spacing w:val="0"/>
          <w:sz w:val="22"/>
          <w:szCs w:val="24"/>
          <w:rtl/>
        </w:rPr>
        <w:t xml:space="preserve"> </w:t>
      </w:r>
      <w:r w:rsidRPr="00531BD3">
        <w:rPr>
          <w:rFonts w:ascii="Century" w:hAnsi="Century" w:cs="Miriam" w:hint="eastAsia"/>
          <w:b/>
          <w:spacing w:val="0"/>
          <w:sz w:val="22"/>
          <w:szCs w:val="24"/>
          <w:rtl/>
        </w:rPr>
        <w:t>ישר</w:t>
      </w:r>
      <w:r w:rsidRPr="00531BD3">
        <w:rPr>
          <w:rFonts w:ascii="Century" w:hAnsi="Century" w:cs="Miriam" w:hint="cs"/>
          <w:b/>
          <w:spacing w:val="0"/>
          <w:sz w:val="22"/>
          <w:szCs w:val="24"/>
          <w:rtl/>
        </w:rPr>
        <w:t>אל</w:t>
      </w:r>
      <w:r w:rsidRPr="00531BD3">
        <w:rPr>
          <w:rFonts w:hint="cs"/>
          <w:rtl/>
        </w:rPr>
        <w:t xml:space="preserve">, פסקה 34 לפסק דינו של השופט </w:t>
      </w:r>
      <w:r w:rsidRPr="00531BD3">
        <w:rPr>
          <w:rFonts w:ascii="Century" w:hAnsi="Century" w:cs="Miriam" w:hint="cs"/>
          <w:b/>
          <w:spacing w:val="0"/>
          <w:sz w:val="22"/>
          <w:szCs w:val="24"/>
          <w:rtl/>
        </w:rPr>
        <w:t>נ' הנדל</w:t>
      </w:r>
      <w:r w:rsidRPr="00531BD3">
        <w:rPr>
          <w:rFonts w:hint="cs"/>
          <w:rtl/>
        </w:rPr>
        <w:t xml:space="preserve"> (1.3.2017); עניין </w:t>
      </w:r>
      <w:r w:rsidRPr="00531BD3">
        <w:rPr>
          <w:rFonts w:ascii="Century" w:hAnsi="Century" w:cs="Miriam" w:hint="cs"/>
          <w:b/>
          <w:spacing w:val="0"/>
          <w:sz w:val="22"/>
          <w:szCs w:val="24"/>
          <w:rtl/>
        </w:rPr>
        <w:t>אדרי</w:t>
      </w:r>
      <w:r w:rsidRPr="00531BD3">
        <w:rPr>
          <w:rFonts w:hint="cs"/>
          <w:rtl/>
        </w:rPr>
        <w:t xml:space="preserve">, פסקה 105 לפסק דינו של השופט </w:t>
      </w:r>
      <w:r w:rsidRPr="00531BD3">
        <w:rPr>
          <w:rFonts w:ascii="Century" w:hAnsi="Century" w:cs="Miriam" w:hint="cs"/>
          <w:b/>
          <w:spacing w:val="0"/>
          <w:sz w:val="22"/>
          <w:szCs w:val="24"/>
          <w:rtl/>
        </w:rPr>
        <w:t>נ' סולברג</w:t>
      </w:r>
      <w:r w:rsidRPr="00531BD3">
        <w:rPr>
          <w:rFonts w:hint="cs"/>
          <w:rtl/>
        </w:rPr>
        <w:t xml:space="preserve">)). ה"דבר" שאותו נדרש המְרַמֶה לקבל אינו חייב להיות דבר מה בעל משמעות חומרית, והוא יכול לבוא לידי ביטוי גם בדרך של הישג או יתרון למרמה. גם אין צורך שלמרומה יגרם נזק או הפסד כתוצאה מקבלת ה"דבר", שכן די בפגיעה בחופש הרצון ובשיקול הדעת של המרומה על מנת לגבש את יסודות העבירה (עניין </w:t>
      </w:r>
      <w:r w:rsidRPr="00531BD3">
        <w:rPr>
          <w:rFonts w:ascii="Century" w:hAnsi="Century" w:cs="Miriam" w:hint="cs"/>
          <w:b/>
          <w:spacing w:val="0"/>
          <w:sz w:val="22"/>
          <w:szCs w:val="24"/>
          <w:rtl/>
        </w:rPr>
        <w:t>הבי</w:t>
      </w:r>
      <w:r w:rsidRPr="00531BD3">
        <w:rPr>
          <w:rFonts w:hint="cs"/>
          <w:rtl/>
        </w:rPr>
        <w:t xml:space="preserve">, פסקה 480; עניין </w:t>
      </w:r>
      <w:r w:rsidRPr="00531BD3">
        <w:rPr>
          <w:rFonts w:ascii="Century" w:hAnsi="Century" w:cs="Miriam" w:hint="cs"/>
          <w:b/>
          <w:spacing w:val="0"/>
          <w:sz w:val="22"/>
          <w:szCs w:val="24"/>
          <w:rtl/>
        </w:rPr>
        <w:t>שמשון</w:t>
      </w:r>
      <w:r w:rsidRPr="00531BD3">
        <w:rPr>
          <w:rFonts w:hint="cs"/>
          <w:rtl/>
        </w:rPr>
        <w:t>, פסקה 32).</w:t>
      </w:r>
    </w:p>
    <w:p w:rsidR="008A4DD4" w:rsidRPr="00531BD3" w:rsidRDefault="008A4DD4" w:rsidP="008A4DD4">
      <w:pPr>
        <w:pStyle w:val="Ruller41"/>
        <w:rPr>
          <w:b/>
          <w:bCs/>
          <w:rtl/>
        </w:rPr>
      </w:pPr>
    </w:p>
    <w:p w:rsidR="008A4DD4" w:rsidRPr="00531BD3" w:rsidRDefault="008A4DD4" w:rsidP="008A4DD4">
      <w:pPr>
        <w:pStyle w:val="Ruller4"/>
      </w:pPr>
      <w:r w:rsidRPr="00531BD3">
        <w:rPr>
          <w:rFonts w:hint="cs"/>
          <w:rtl/>
        </w:rPr>
        <w:t xml:space="preserve">בענייננו, כתב האישום ייחס למשיבים שני דברים שהתקבלו במרמה: מידע שהיה גלום בו יתרון תחרותי; והנחת דעתם של מוסדות בזק (ובעסקת יס-חלל, גם הנחת דעתה של </w:t>
      </w:r>
      <w:proofErr w:type="spellStart"/>
      <w:r w:rsidRPr="00531BD3">
        <w:rPr>
          <w:rFonts w:hint="cs"/>
          <w:rtl/>
        </w:rPr>
        <w:t>אנטרופי</w:t>
      </w:r>
      <w:proofErr w:type="spellEnd"/>
      <w:r w:rsidRPr="00531BD3">
        <w:rPr>
          <w:rFonts w:hint="cs"/>
          <w:rtl/>
        </w:rPr>
        <w:t>) באשר לאופן עבודת הוועדה והליך ניהול המשא ומתן.</w:t>
      </w:r>
    </w:p>
    <w:p w:rsidR="008A4DD4" w:rsidRPr="00531BD3" w:rsidRDefault="008A4DD4" w:rsidP="008A4DD4">
      <w:pPr>
        <w:pStyle w:val="Ruller4"/>
        <w:numPr>
          <w:ilvl w:val="0"/>
          <w:numId w:val="0"/>
        </w:numPr>
      </w:pPr>
    </w:p>
    <w:p w:rsidR="008A4DD4" w:rsidRPr="00531BD3" w:rsidRDefault="008A4DD4" w:rsidP="008A4DD4">
      <w:pPr>
        <w:pStyle w:val="Ruller4"/>
        <w:rPr>
          <w:rtl/>
        </w:rPr>
      </w:pPr>
      <w:r w:rsidRPr="00531BD3">
        <w:rPr>
          <w:rFonts w:hint="cs"/>
          <w:rtl/>
        </w:rPr>
        <w:t xml:space="preserve">באשר ליתרון התחרותי, קבע בית המשפט המחוזי כי כתב האישום לא ביסס את הטענה שהתקבל יתרון תחרותי, שכן לא נכללו בכתב האישום פרטים נוספים כגון לאילו גורמים נמסר המידע ומהו היתרון התחרותי שהיה גלום בו. אלא שבצדק טוענת המערערת בהקשר זה כי בכתב האישום פורט אופיו של היתרון התחרותי שהתקבל בנוגע לכל אחת מהעסקאות: באישום השני תואר כי היתרון התחרותי נגע הן לעמדות שהוצגו בדיוניה הפנימיים של הוועדה והן לעמדות בזק בסוגיות מהותיות במשא ומתן (סעיף 122 לכתב האישום); ובאישום השלישי תואר כי היתרון התחרותי נגע הן לבחירת מפעיל הלוויין להתקשרות בהסכם עם בזק והן בנוגע לתנאיו של הסכם זה (סעיף 167 לכתב האישום). העובדה שלא פורט לאיזה </w:t>
      </w:r>
      <w:r w:rsidRPr="00531BD3">
        <w:rPr>
          <w:rFonts w:ascii="Century" w:hAnsi="Century" w:hint="cs"/>
          <w:sz w:val="22"/>
          <w:rtl/>
        </w:rPr>
        <w:t>גורם</w:t>
      </w:r>
      <w:r w:rsidRPr="00531BD3">
        <w:rPr>
          <w:rFonts w:hint="cs"/>
          <w:rtl/>
        </w:rPr>
        <w:t xml:space="preserve"> נמסר המידע אין משמעותה כי לא ניתן להוכיח קיומו של "יתרון תחרותי", ודאי לא שעה שמדובר בדיון על יתרון תחרותי בנסיבות שבהן מידע מהותי לעסקה שהיה שייך לצד אחד למשא ומתן נחשף לצד השני. זאת על אחת כמה וכמה באשר לעסקת בזק-יס אשר על פי העובדות שאינן שנויות במחלוקת, המשיבים אף היו מעורבים במשא ומתן באופן גלוי כנציגי קבוצת יורוקום (סעיף 106 לכתב האישום).</w:t>
      </w:r>
    </w:p>
    <w:p w:rsidR="008A4DD4" w:rsidRPr="00531BD3" w:rsidRDefault="008A4DD4" w:rsidP="008A4DD4">
      <w:pPr>
        <w:pStyle w:val="Ruller41"/>
        <w:rPr>
          <w:rtl/>
        </w:rPr>
      </w:pPr>
    </w:p>
    <w:p w:rsidR="008A4DD4" w:rsidRPr="00531BD3" w:rsidRDefault="008A4DD4" w:rsidP="008A4DD4">
      <w:pPr>
        <w:pStyle w:val="Ruller4"/>
        <w:rPr>
          <w:rtl/>
        </w:rPr>
      </w:pPr>
      <w:r w:rsidRPr="00531BD3">
        <w:rPr>
          <w:rFonts w:hint="cs"/>
          <w:rtl/>
        </w:rPr>
        <w:lastRenderedPageBreak/>
        <w:t xml:space="preserve">באשר לטענה כי ה"דבר" שהתקבל הוא הנחת דעת מוסדות החברה (וכן הנחת דעתה של </w:t>
      </w:r>
      <w:proofErr w:type="spellStart"/>
      <w:r w:rsidRPr="00531BD3">
        <w:rPr>
          <w:rFonts w:hint="cs"/>
          <w:rtl/>
        </w:rPr>
        <w:t>אנטרופי</w:t>
      </w:r>
      <w:proofErr w:type="spellEnd"/>
      <w:r w:rsidRPr="00531BD3">
        <w:rPr>
          <w:rFonts w:hint="cs"/>
          <w:rtl/>
        </w:rPr>
        <w:t xml:space="preserve"> לגבי עסקת יס-חלל), בית המשפט קבע כי אין מדובר בהנחת דעת שגרמה לאילו מהאורגנים לשנות את התנהלותם, זאת כאשר נקבע כי החלטותיהן של הוועדות נסמכו על מומחים חיצוניים שונים ואין טענה בכתב האישום כי מי מהאורגנים השונים בחברה, הוועדה או </w:t>
      </w:r>
      <w:proofErr w:type="spellStart"/>
      <w:r w:rsidRPr="00531BD3">
        <w:rPr>
          <w:rFonts w:hint="cs"/>
          <w:rtl/>
        </w:rPr>
        <w:t>אנטרופי</w:t>
      </w:r>
      <w:proofErr w:type="spellEnd"/>
      <w:r w:rsidRPr="00531BD3">
        <w:rPr>
          <w:rFonts w:hint="cs"/>
          <w:rtl/>
        </w:rPr>
        <w:t xml:space="preserve"> היו פועלים אחרת לוּ היה מודעים לכך שבעלי העניין נחשפו למידע.</w:t>
      </w:r>
    </w:p>
    <w:p w:rsidR="008A4DD4" w:rsidRPr="00531BD3" w:rsidRDefault="008A4DD4" w:rsidP="008A4DD4">
      <w:pPr>
        <w:pStyle w:val="Ruller41"/>
        <w:rPr>
          <w:rtl/>
        </w:rPr>
      </w:pPr>
    </w:p>
    <w:p w:rsidR="008A4DD4" w:rsidRPr="00531BD3" w:rsidRDefault="008A4DD4" w:rsidP="008A4DD4">
      <w:pPr>
        <w:pStyle w:val="Ruller4"/>
        <w:rPr>
          <w:rtl/>
        </w:rPr>
      </w:pPr>
      <w:r w:rsidRPr="00531BD3">
        <w:rPr>
          <w:rFonts w:hint="cs"/>
          <w:rtl/>
        </w:rPr>
        <w:t xml:space="preserve">ברם, לעמדתי מעובדות כתב אישום עולה מסקנה אחרת. כתב האישום מפרט לגבי שתי העסקאות את הנסיבות שהביאו להקמת הוועדה </w:t>
      </w:r>
      <w:r w:rsidRPr="00531BD3">
        <w:rPr>
          <w:rtl/>
        </w:rPr>
        <w:t>–</w:t>
      </w:r>
      <w:r w:rsidRPr="00531BD3">
        <w:rPr>
          <w:rFonts w:hint="cs"/>
          <w:rtl/>
        </w:rPr>
        <w:t xml:space="preserve"> על רקע החשש מניגוד עניינים, כאשר התנהלות המשיבים הביאה לקבלת הנחת דעתם של מוסדות בזק ושל הוועדה כי המשא ומתן מתנהל ללא מעורבות בעלי העניין. לגבי עסקת בזק-יס אף הובהר כי התנהלות המשיבים הביאה לכך שמוסדות בזק אישרו את העסקה "על בסיס מצג כוזב שלפיו הליך המשא ומתן נוהל באופן תקין המדמה עסקה בתנאי שוק" (סעיף 129 לכתב האישום); ולגבי עסקת יס-חלל פורט כי </w:t>
      </w:r>
      <w:proofErr w:type="spellStart"/>
      <w:r w:rsidRPr="00531BD3">
        <w:rPr>
          <w:rFonts w:hint="cs"/>
          <w:rtl/>
        </w:rPr>
        <w:t>אלוביץ</w:t>
      </w:r>
      <w:proofErr w:type="spellEnd"/>
      <w:r w:rsidRPr="00531BD3">
        <w:rPr>
          <w:rFonts w:hint="cs"/>
          <w:rtl/>
        </w:rPr>
        <w:t xml:space="preserve">', משיב 2 ומשיבה 4 היו מודעים לחשיבות שראתה </w:t>
      </w:r>
      <w:proofErr w:type="spellStart"/>
      <w:r w:rsidRPr="00531BD3">
        <w:rPr>
          <w:rFonts w:hint="cs"/>
          <w:rtl/>
        </w:rPr>
        <w:t>אנטרופי</w:t>
      </w:r>
      <w:proofErr w:type="spellEnd"/>
      <w:r w:rsidRPr="00531BD3">
        <w:rPr>
          <w:rFonts w:hint="cs"/>
          <w:rtl/>
        </w:rPr>
        <w:t xml:space="preserve"> באי-תלותה של הוועדה ובמידור בעלי העניין האישי, כאשר משיבה 4 אף מסרה </w:t>
      </w:r>
      <w:proofErr w:type="spellStart"/>
      <w:r w:rsidRPr="00531BD3">
        <w:rPr>
          <w:rFonts w:hint="cs"/>
          <w:rtl/>
        </w:rPr>
        <w:t>לאנטרופי</w:t>
      </w:r>
      <w:proofErr w:type="spellEnd"/>
      <w:r w:rsidRPr="00531BD3">
        <w:rPr>
          <w:rFonts w:hint="cs"/>
          <w:rtl/>
        </w:rPr>
        <w:t xml:space="preserve"> מצג פוזיטיבי כוזב בדבר עצמאות עבודת הוועדה ונטרול בעלי העניין האישי ממעורבות בענייניה (סעיף 174 לכתב האישום). כתב האישום אף מציין כי "לו נחשפו נציגי </w:t>
      </w:r>
      <w:proofErr w:type="spellStart"/>
      <w:r w:rsidRPr="00531BD3">
        <w:rPr>
          <w:rFonts w:hint="cs"/>
          <w:rtl/>
        </w:rPr>
        <w:t>אנטרופי</w:t>
      </w:r>
      <w:proofErr w:type="spellEnd"/>
      <w:r w:rsidRPr="00531BD3">
        <w:rPr>
          <w:rFonts w:hint="cs"/>
          <w:rtl/>
        </w:rPr>
        <w:t xml:space="preserve"> להתנהלות המתוארת בזמן אמת, עשוי היה הדבר להשפיע באופן ממשי על החלטתה לתמוך בעסקה" (סעיף 174).</w:t>
      </w:r>
    </w:p>
    <w:p w:rsidR="008A4DD4" w:rsidRPr="00531BD3" w:rsidRDefault="008A4DD4" w:rsidP="008A4DD4">
      <w:pPr>
        <w:pStyle w:val="Ruller41"/>
        <w:rPr>
          <w:rtl/>
        </w:rPr>
      </w:pPr>
    </w:p>
    <w:p w:rsidR="008A4DD4" w:rsidRPr="00531BD3" w:rsidRDefault="008A4DD4" w:rsidP="008A4DD4">
      <w:pPr>
        <w:pStyle w:val="Ruller4"/>
      </w:pPr>
      <w:r w:rsidRPr="00531BD3">
        <w:rPr>
          <w:rFonts w:hint="cs"/>
          <w:rtl/>
        </w:rPr>
        <w:t xml:space="preserve">אם כן, השאלה האם ידיעת הגורמים הרלוונטיים על כך שהודלפו חומרים סודיים מתוך דיוני הוועדה, תוך שנעשה שימוש בהם על מנת להשפיע על המשא ומתן ממנו היו בעלי העניין אמורים להיות ממודרים הייתה משפיעה על תהליך קבלת ההחלטות, היא שאלה שניתנה לה תשובה בתוככי כתב האישום. על פי עובדות כתב האישום, המרמה הביאה את הגורמים השונים </w:t>
      </w:r>
      <w:r w:rsidRPr="00531BD3">
        <w:rPr>
          <w:rtl/>
        </w:rPr>
        <w:t>–</w:t>
      </w:r>
      <w:r w:rsidRPr="00531BD3">
        <w:rPr>
          <w:rFonts w:hint="cs"/>
          <w:rtl/>
        </w:rPr>
        <w:t xml:space="preserve"> מוסדות בזק, הוועדה </w:t>
      </w:r>
      <w:proofErr w:type="spellStart"/>
      <w:r w:rsidRPr="00531BD3">
        <w:rPr>
          <w:rFonts w:hint="cs"/>
          <w:rtl/>
        </w:rPr>
        <w:t>ואנטרופי</w:t>
      </w:r>
      <w:proofErr w:type="spellEnd"/>
      <w:r w:rsidRPr="00531BD3">
        <w:rPr>
          <w:rFonts w:hint="cs"/>
          <w:rtl/>
        </w:rPr>
        <w:t xml:space="preserve"> </w:t>
      </w:r>
      <w:r w:rsidRPr="00531BD3">
        <w:rPr>
          <w:rtl/>
        </w:rPr>
        <w:t>–</w:t>
      </w:r>
      <w:r w:rsidRPr="00531BD3">
        <w:rPr>
          <w:rFonts w:hint="cs"/>
          <w:rtl/>
        </w:rPr>
        <w:t xml:space="preserve"> לבחון את העסקאות באור אחר, תוך שהושמט מהם מידע מהותי בדבר אי-מידור בעלי העניין. לטענת המערערת, היא מחזיקה די ראיות לגבי אופן התנהלות הוועדה והאופן שבו תפסו חברי הוועדה את סודיות הדיונים ואת עצמת מידור בעלי העניין. בשלב זה אפוא, עוד חזון למועד וכאשר טרם התבררה התמונה העובדתית המלאה, לא ניתן לומר כי רכיב הקשר הסיבתי לא יכול להתקיים. </w:t>
      </w:r>
    </w:p>
    <w:p w:rsidR="008A4DD4" w:rsidRPr="00531BD3" w:rsidRDefault="008A4DD4" w:rsidP="008A4DD4">
      <w:pPr>
        <w:pStyle w:val="Ruller4"/>
        <w:numPr>
          <w:ilvl w:val="0"/>
          <w:numId w:val="0"/>
        </w:numPr>
      </w:pPr>
    </w:p>
    <w:p w:rsidR="008A4DD4" w:rsidRPr="00531BD3" w:rsidRDefault="008A4DD4" w:rsidP="008A4DD4">
      <w:pPr>
        <w:pStyle w:val="Ruller4"/>
      </w:pPr>
      <w:r w:rsidRPr="00531BD3">
        <w:rPr>
          <w:rFonts w:hint="cs"/>
          <w:rtl/>
        </w:rPr>
        <w:t xml:space="preserve">בשולי עניין זה, יש לציין כי אין ממש בטענות משיבה 4 כי לא ניתן להרשיעהּ בעבירה זו שכן לא התקבל בידיה "דבר", נוכח העובדה שהנחת דעת הוועדות ומוסדות </w:t>
      </w:r>
      <w:r w:rsidRPr="00531BD3">
        <w:rPr>
          <w:rFonts w:hint="cs"/>
          <w:rtl/>
        </w:rPr>
        <w:lastRenderedPageBreak/>
        <w:t xml:space="preserve">בזק וכן היתרון התחרותי אינם נוגעים לה ולענייניה. לא רק שכאשר מדובר בביצוע </w:t>
      </w:r>
      <w:r w:rsidRPr="00531BD3">
        <w:rPr>
          <w:rFonts w:hint="eastAsia"/>
          <w:rtl/>
        </w:rPr>
        <w:t>בצוותא</w:t>
      </w:r>
      <w:r w:rsidRPr="00531BD3">
        <w:rPr>
          <w:rFonts w:hint="cs"/>
          <w:rtl/>
        </w:rPr>
        <w:t xml:space="preserve"> על ידי מספר מבצעים אשר כל אחד מהם נוטל חלק בביצוע העבירה, אין פגם בכך שלא כל מבצע השלים את </w:t>
      </w:r>
      <w:r w:rsidRPr="00531BD3">
        <w:rPr>
          <w:rFonts w:ascii="Century" w:hAnsi="Century" w:cs="Miriam" w:hint="cs"/>
          <w:b/>
          <w:spacing w:val="0"/>
          <w:sz w:val="22"/>
          <w:szCs w:val="24"/>
          <w:rtl/>
        </w:rPr>
        <w:t>כל</w:t>
      </w:r>
      <w:r w:rsidRPr="00531BD3">
        <w:rPr>
          <w:rFonts w:hint="cs"/>
          <w:rtl/>
        </w:rPr>
        <w:t xml:space="preserve"> היסודות העובדתיים של העבירה (וראו למשל: </w:t>
      </w:r>
      <w:r w:rsidRPr="00531BD3">
        <w:rPr>
          <w:rFonts w:hint="eastAsia"/>
          <w:rtl/>
        </w:rPr>
        <w:t>ע</w:t>
      </w:r>
      <w:r w:rsidRPr="00531BD3">
        <w:rPr>
          <w:rtl/>
        </w:rPr>
        <w:t>"</w:t>
      </w:r>
      <w:r w:rsidRPr="00531BD3">
        <w:rPr>
          <w:rFonts w:hint="eastAsia"/>
          <w:rtl/>
        </w:rPr>
        <w:t>פ</w:t>
      </w:r>
      <w:r w:rsidRPr="00531BD3">
        <w:rPr>
          <w:rtl/>
        </w:rPr>
        <w:t xml:space="preserve"> 2648/18 </w:t>
      </w:r>
      <w:r w:rsidRPr="00531BD3">
        <w:rPr>
          <w:rFonts w:ascii="Century" w:hAnsi="Century" w:cs="Miriam" w:hint="eastAsia"/>
          <w:b/>
          <w:spacing w:val="0"/>
          <w:sz w:val="22"/>
          <w:szCs w:val="24"/>
          <w:rtl/>
        </w:rPr>
        <w:t>פלוני</w:t>
      </w:r>
      <w:r w:rsidRPr="00531BD3">
        <w:rPr>
          <w:rFonts w:ascii="Century" w:hAnsi="Century" w:cs="Miriam"/>
          <w:b/>
          <w:spacing w:val="0"/>
          <w:sz w:val="22"/>
          <w:szCs w:val="24"/>
          <w:rtl/>
        </w:rPr>
        <w:t xml:space="preserve"> </w:t>
      </w:r>
      <w:r w:rsidRPr="00531BD3">
        <w:rPr>
          <w:rFonts w:ascii="Century" w:hAnsi="Century" w:cs="Miriam" w:hint="eastAsia"/>
          <w:b/>
          <w:spacing w:val="0"/>
          <w:sz w:val="22"/>
          <w:szCs w:val="24"/>
          <w:rtl/>
        </w:rPr>
        <w:t>נ</w:t>
      </w:r>
      <w:r w:rsidRPr="00531BD3">
        <w:rPr>
          <w:rFonts w:ascii="Century" w:hAnsi="Century" w:cs="Miriam"/>
          <w:b/>
          <w:spacing w:val="0"/>
          <w:sz w:val="22"/>
          <w:szCs w:val="24"/>
          <w:rtl/>
        </w:rPr>
        <w:t xml:space="preserve">' </w:t>
      </w:r>
      <w:r w:rsidRPr="00531BD3">
        <w:rPr>
          <w:rFonts w:ascii="Century" w:hAnsi="Century" w:cs="Miriam" w:hint="eastAsia"/>
          <w:b/>
          <w:spacing w:val="0"/>
          <w:sz w:val="22"/>
          <w:szCs w:val="24"/>
          <w:rtl/>
        </w:rPr>
        <w:t>מדינת</w:t>
      </w:r>
      <w:r w:rsidRPr="00531BD3">
        <w:rPr>
          <w:rFonts w:ascii="Century" w:hAnsi="Century" w:cs="Miriam"/>
          <w:b/>
          <w:spacing w:val="0"/>
          <w:sz w:val="22"/>
          <w:szCs w:val="24"/>
          <w:rtl/>
        </w:rPr>
        <w:t xml:space="preserve"> </w:t>
      </w:r>
      <w:r w:rsidRPr="00531BD3">
        <w:rPr>
          <w:rFonts w:ascii="Century" w:hAnsi="Century" w:cs="Miriam" w:hint="eastAsia"/>
          <w:b/>
          <w:spacing w:val="0"/>
          <w:sz w:val="22"/>
          <w:szCs w:val="24"/>
          <w:rtl/>
        </w:rPr>
        <w:t>ישראל</w:t>
      </w:r>
      <w:r w:rsidRPr="00531BD3">
        <w:rPr>
          <w:rtl/>
        </w:rPr>
        <w:t xml:space="preserve">, </w:t>
      </w:r>
      <w:r w:rsidRPr="00531BD3">
        <w:rPr>
          <w:rFonts w:hint="eastAsia"/>
          <w:rtl/>
        </w:rPr>
        <w:t>פסקה</w:t>
      </w:r>
      <w:r w:rsidRPr="00531BD3">
        <w:rPr>
          <w:rtl/>
        </w:rPr>
        <w:t xml:space="preserve"> 23 </w:t>
      </w:r>
      <w:r w:rsidRPr="00531BD3">
        <w:rPr>
          <w:rFonts w:hint="cs"/>
          <w:rtl/>
        </w:rPr>
        <w:t xml:space="preserve">(19.3.2020); </w:t>
      </w:r>
      <w:r w:rsidRPr="00531BD3">
        <w:rPr>
          <w:rFonts w:hint="eastAsia"/>
          <w:rtl/>
        </w:rPr>
        <w:t>ע</w:t>
      </w:r>
      <w:r w:rsidRPr="00531BD3">
        <w:rPr>
          <w:rFonts w:hint="cs"/>
          <w:rtl/>
        </w:rPr>
        <w:t>"</w:t>
      </w:r>
      <w:r w:rsidRPr="00531BD3">
        <w:rPr>
          <w:rFonts w:hint="eastAsia"/>
          <w:rtl/>
        </w:rPr>
        <w:t>פ</w:t>
      </w:r>
      <w:r w:rsidRPr="00531BD3">
        <w:rPr>
          <w:rtl/>
        </w:rPr>
        <w:t xml:space="preserve"> 1102/22</w:t>
      </w:r>
      <w:r w:rsidRPr="00531BD3">
        <w:rPr>
          <w:rFonts w:hint="cs"/>
          <w:rtl/>
        </w:rPr>
        <w:t xml:space="preserve"> </w:t>
      </w:r>
      <w:proofErr w:type="spellStart"/>
      <w:r w:rsidRPr="00531BD3">
        <w:rPr>
          <w:rFonts w:ascii="Century" w:hAnsi="Century" w:cs="Miriam" w:hint="eastAsia"/>
          <w:b/>
          <w:spacing w:val="0"/>
          <w:sz w:val="22"/>
          <w:szCs w:val="24"/>
          <w:rtl/>
        </w:rPr>
        <w:t>ראדי</w:t>
      </w:r>
      <w:proofErr w:type="spellEnd"/>
      <w:r w:rsidRPr="00531BD3">
        <w:rPr>
          <w:rFonts w:ascii="Century" w:hAnsi="Century" w:cs="Miriam"/>
          <w:b/>
          <w:spacing w:val="0"/>
          <w:sz w:val="22"/>
          <w:szCs w:val="24"/>
          <w:rtl/>
        </w:rPr>
        <w:t xml:space="preserve"> </w:t>
      </w:r>
      <w:r w:rsidRPr="00531BD3">
        <w:rPr>
          <w:rFonts w:ascii="Century" w:hAnsi="Century" w:cs="Miriam" w:hint="eastAsia"/>
          <w:b/>
          <w:spacing w:val="0"/>
          <w:sz w:val="22"/>
          <w:szCs w:val="24"/>
          <w:rtl/>
        </w:rPr>
        <w:t>נ</w:t>
      </w:r>
      <w:r w:rsidRPr="00531BD3">
        <w:rPr>
          <w:rFonts w:ascii="Century" w:hAnsi="Century" w:cs="Miriam"/>
          <w:b/>
          <w:spacing w:val="0"/>
          <w:sz w:val="22"/>
          <w:szCs w:val="24"/>
          <w:rtl/>
        </w:rPr>
        <w:t xml:space="preserve">' </w:t>
      </w:r>
      <w:r w:rsidRPr="00531BD3">
        <w:rPr>
          <w:rFonts w:ascii="Century" w:hAnsi="Century" w:cs="Miriam" w:hint="eastAsia"/>
          <w:b/>
          <w:spacing w:val="0"/>
          <w:sz w:val="22"/>
          <w:szCs w:val="24"/>
          <w:rtl/>
        </w:rPr>
        <w:t>מדינת</w:t>
      </w:r>
      <w:r w:rsidRPr="00531BD3">
        <w:rPr>
          <w:rFonts w:ascii="Century" w:hAnsi="Century" w:cs="Miriam"/>
          <w:b/>
          <w:spacing w:val="0"/>
          <w:sz w:val="22"/>
          <w:szCs w:val="24"/>
          <w:rtl/>
        </w:rPr>
        <w:t xml:space="preserve"> </w:t>
      </w:r>
      <w:r w:rsidRPr="00531BD3">
        <w:rPr>
          <w:rFonts w:ascii="Century" w:hAnsi="Century" w:cs="Miriam" w:hint="eastAsia"/>
          <w:b/>
          <w:spacing w:val="0"/>
          <w:sz w:val="22"/>
          <w:szCs w:val="24"/>
          <w:rtl/>
        </w:rPr>
        <w:t>ישראל</w:t>
      </w:r>
      <w:r w:rsidRPr="00531BD3">
        <w:rPr>
          <w:rFonts w:hint="cs"/>
          <w:rtl/>
        </w:rPr>
        <w:t xml:space="preserve">, פסקה 24 </w:t>
      </w:r>
      <w:r w:rsidRPr="00531BD3">
        <w:rPr>
          <w:rtl/>
        </w:rPr>
        <w:t>(‏23.4.2023)</w:t>
      </w:r>
      <w:r w:rsidRPr="00531BD3">
        <w:rPr>
          <w:rFonts w:hint="cs"/>
          <w:rtl/>
        </w:rPr>
        <w:t xml:space="preserve">), אלא שעל פי הוראת סעיף 438 לחוק העונשין </w:t>
      </w:r>
      <w:r w:rsidRPr="00531BD3">
        <w:rPr>
          <w:rFonts w:hint="eastAsia"/>
          <w:rtl/>
        </w:rPr>
        <w:t>ניתן</w:t>
      </w:r>
      <w:r w:rsidRPr="00531BD3">
        <w:rPr>
          <w:rtl/>
        </w:rPr>
        <w:t xml:space="preserve"> </w:t>
      </w:r>
      <w:r w:rsidRPr="00531BD3">
        <w:rPr>
          <w:rFonts w:hint="eastAsia"/>
          <w:rtl/>
        </w:rPr>
        <w:t>לקבל</w:t>
      </w:r>
      <w:r w:rsidRPr="00531BD3">
        <w:rPr>
          <w:rtl/>
        </w:rPr>
        <w:t xml:space="preserve"> "</w:t>
      </w:r>
      <w:r w:rsidRPr="00531BD3">
        <w:rPr>
          <w:rFonts w:hint="eastAsia"/>
          <w:rtl/>
        </w:rPr>
        <w:t>דבר</w:t>
      </w:r>
      <w:r w:rsidRPr="00531BD3">
        <w:rPr>
          <w:rtl/>
        </w:rPr>
        <w:t xml:space="preserve">" </w:t>
      </w:r>
      <w:r w:rsidRPr="00531BD3">
        <w:rPr>
          <w:rFonts w:hint="eastAsia"/>
          <w:rtl/>
        </w:rPr>
        <w:t>בשביל</w:t>
      </w:r>
      <w:r w:rsidRPr="00531BD3">
        <w:rPr>
          <w:rtl/>
        </w:rPr>
        <w:t xml:space="preserve"> </w:t>
      </w:r>
      <w:r w:rsidRPr="00531BD3">
        <w:rPr>
          <w:rFonts w:hint="eastAsia"/>
          <w:rtl/>
        </w:rPr>
        <w:t>אדם</w:t>
      </w:r>
      <w:r w:rsidRPr="00531BD3">
        <w:rPr>
          <w:rtl/>
        </w:rPr>
        <w:t xml:space="preserve"> </w:t>
      </w:r>
      <w:r w:rsidRPr="00531BD3">
        <w:rPr>
          <w:rFonts w:hint="eastAsia"/>
          <w:rtl/>
        </w:rPr>
        <w:t>אחר</w:t>
      </w:r>
      <w:r w:rsidRPr="00531BD3">
        <w:rPr>
          <w:rtl/>
        </w:rPr>
        <w:t xml:space="preserve">, </w:t>
      </w:r>
      <w:r w:rsidRPr="00531BD3">
        <w:rPr>
          <w:rFonts w:hint="eastAsia"/>
          <w:rtl/>
        </w:rPr>
        <w:t>על</w:t>
      </w:r>
      <w:r w:rsidRPr="00531BD3">
        <w:rPr>
          <w:rtl/>
        </w:rPr>
        <w:t xml:space="preserve"> </w:t>
      </w:r>
      <w:r w:rsidRPr="00531BD3">
        <w:rPr>
          <w:rFonts w:hint="eastAsia"/>
          <w:rtl/>
        </w:rPr>
        <w:t>מנת</w:t>
      </w:r>
      <w:r w:rsidRPr="00531BD3">
        <w:rPr>
          <w:rtl/>
        </w:rPr>
        <w:t xml:space="preserve"> </w:t>
      </w:r>
      <w:r w:rsidRPr="00531BD3">
        <w:rPr>
          <w:rFonts w:hint="eastAsia"/>
          <w:rtl/>
        </w:rPr>
        <w:t>שהדבר</w:t>
      </w:r>
      <w:r w:rsidRPr="00531BD3">
        <w:rPr>
          <w:rtl/>
        </w:rPr>
        <w:t xml:space="preserve"> </w:t>
      </w:r>
      <w:r w:rsidRPr="00531BD3">
        <w:rPr>
          <w:rFonts w:hint="eastAsia"/>
          <w:rtl/>
        </w:rPr>
        <w:t>יחשב</w:t>
      </w:r>
      <w:r w:rsidRPr="00531BD3">
        <w:rPr>
          <w:rtl/>
        </w:rPr>
        <w:t xml:space="preserve"> </w:t>
      </w:r>
      <w:r w:rsidRPr="00531BD3">
        <w:rPr>
          <w:rFonts w:hint="eastAsia"/>
          <w:rtl/>
        </w:rPr>
        <w:t>כ</w:t>
      </w:r>
      <w:r w:rsidRPr="00531BD3">
        <w:rPr>
          <w:rtl/>
        </w:rPr>
        <w:t>"</w:t>
      </w:r>
      <w:r w:rsidRPr="00531BD3">
        <w:rPr>
          <w:rFonts w:hint="eastAsia"/>
          <w:rtl/>
        </w:rPr>
        <w:t>קבל</w:t>
      </w:r>
      <w:r w:rsidRPr="00531BD3">
        <w:rPr>
          <w:rFonts w:hint="cs"/>
          <w:rtl/>
        </w:rPr>
        <w:t>ת דבר</w:t>
      </w:r>
      <w:r w:rsidRPr="00531BD3">
        <w:rPr>
          <w:rtl/>
        </w:rPr>
        <w:t>"</w:t>
      </w:r>
      <w:r w:rsidRPr="00531BD3">
        <w:rPr>
          <w:rFonts w:hint="cs"/>
          <w:rtl/>
        </w:rPr>
        <w:t xml:space="preserve"> (ראו גם: עניין </w:t>
      </w:r>
      <w:r w:rsidRPr="00531BD3">
        <w:rPr>
          <w:rFonts w:ascii="Century" w:hAnsi="Century" w:cs="Miriam" w:hint="cs"/>
          <w:b/>
          <w:spacing w:val="0"/>
          <w:sz w:val="22"/>
          <w:szCs w:val="24"/>
          <w:rtl/>
        </w:rPr>
        <w:t>הבי</w:t>
      </w:r>
      <w:r w:rsidRPr="00531BD3">
        <w:rPr>
          <w:rFonts w:hint="cs"/>
          <w:rtl/>
        </w:rPr>
        <w:t>, פסקה 481)</w:t>
      </w:r>
      <w:r w:rsidRPr="00531BD3">
        <w:rPr>
          <w:rtl/>
        </w:rPr>
        <w:t>.</w:t>
      </w:r>
      <w:r w:rsidRPr="00531BD3">
        <w:rPr>
          <w:rFonts w:hint="cs"/>
          <w:rtl/>
        </w:rPr>
        <w:t xml:space="preserve"> העובדה שמשיבה 4 קיבלה את החומרים לידיה מתוקף תפקידה כמזכירת הוועדה אינה מאיינת את האפשרות כי העברתם לידי בעלי העניין קיימה את יסודות עבירת קבלת דבר במרמה. אם בכלל, העובדה שהמסמכים הגיעו לידיה במסגרת תפקידה אינה באה בגדר נסיבה מקלה, זאת כאשר על פי עובדות כתב האישום היא העבירה אותם לידי בעלי העניין בניגוד לחובתה ובניגוד למצגים שהציגה בעניין מידורם מהעסקאות (פסקאות 163 ו-128 לכתב האישום). ודאי בנסיבות שבהן על פי עובדות כתב האישום במידע שהועבר היה גלום יתרון תחרותי עבור בעלי העניין וכאשר הדבר הביא במרמה להנחת דעתם של מוסדות בזק והוועדה (כמו גם </w:t>
      </w:r>
      <w:proofErr w:type="spellStart"/>
      <w:r w:rsidRPr="00531BD3">
        <w:rPr>
          <w:rFonts w:hint="cs"/>
          <w:rtl/>
        </w:rPr>
        <w:t>אנטרופי</w:t>
      </w:r>
      <w:proofErr w:type="spellEnd"/>
      <w:r w:rsidRPr="00531BD3">
        <w:rPr>
          <w:rFonts w:hint="cs"/>
          <w:rtl/>
        </w:rPr>
        <w:t xml:space="preserve"> באישום השלישי) שהוועדה פעלה תוך מידור בעלי העניין.</w:t>
      </w:r>
    </w:p>
    <w:p w:rsidR="008A4DD4" w:rsidRPr="00531BD3" w:rsidRDefault="008A4DD4" w:rsidP="008A4DD4">
      <w:pPr>
        <w:pStyle w:val="Ruller4"/>
        <w:numPr>
          <w:ilvl w:val="0"/>
          <w:numId w:val="0"/>
        </w:numPr>
        <w:rPr>
          <w:rtl/>
        </w:rPr>
      </w:pPr>
      <w:r w:rsidRPr="00531BD3">
        <w:rPr>
          <w:rtl/>
        </w:rPr>
        <w:t xml:space="preserve"> </w:t>
      </w:r>
    </w:p>
    <w:p w:rsidR="008A4DD4" w:rsidRPr="00531BD3" w:rsidRDefault="008A4DD4" w:rsidP="008A4DD4">
      <w:pPr>
        <w:pStyle w:val="Ruller41"/>
        <w:rPr>
          <w:rtl/>
        </w:rPr>
      </w:pPr>
      <w:r w:rsidRPr="00531BD3">
        <w:rPr>
          <w:rFonts w:ascii="Century" w:hAnsi="Century" w:cs="Miriam" w:hint="cs"/>
          <w:b/>
          <w:spacing w:val="0"/>
          <w:szCs w:val="24"/>
          <w:rtl/>
        </w:rPr>
        <w:t>עבירות</w:t>
      </w:r>
      <w:r w:rsidRPr="00531BD3">
        <w:rPr>
          <w:rFonts w:hint="cs"/>
          <w:rtl/>
        </w:rPr>
        <w:t xml:space="preserve"> </w:t>
      </w:r>
      <w:r w:rsidRPr="00531BD3">
        <w:rPr>
          <w:rFonts w:ascii="Century" w:hAnsi="Century" w:cs="Miriam" w:hint="cs"/>
          <w:b/>
          <w:spacing w:val="0"/>
          <w:szCs w:val="24"/>
          <w:rtl/>
        </w:rPr>
        <w:t>הדיווח</w:t>
      </w:r>
    </w:p>
    <w:p w:rsidR="008A4DD4" w:rsidRPr="00531BD3" w:rsidRDefault="008A4DD4" w:rsidP="008A4DD4">
      <w:pPr>
        <w:pStyle w:val="Ruller4"/>
        <w:rPr>
          <w:rFonts w:ascii="Century" w:hAnsi="Century"/>
        </w:rPr>
      </w:pPr>
      <w:r w:rsidRPr="00531BD3">
        <w:rPr>
          <w:rFonts w:hint="cs"/>
          <w:rtl/>
        </w:rPr>
        <w:t>ביסודן של עבירות הדיווח הקבועות בחוק ניירות ערך, כמו גם של עבירה לפי סעיף 53(א)(4) לחוק האמור, עומד עיקרון הגילוי הנאות, שהוא הבסיס והליבה של דיני ניירות ערך (</w:t>
      </w:r>
      <w:r w:rsidRPr="00531BD3">
        <w:rPr>
          <w:rFonts w:hint="eastAsia"/>
          <w:rtl/>
        </w:rPr>
        <w:t>ע</w:t>
      </w:r>
      <w:r w:rsidRPr="00531BD3">
        <w:rPr>
          <w:rtl/>
        </w:rPr>
        <w:t>"</w:t>
      </w:r>
      <w:r w:rsidRPr="00531BD3">
        <w:rPr>
          <w:rFonts w:hint="eastAsia"/>
          <w:rtl/>
        </w:rPr>
        <w:t>א</w:t>
      </w:r>
      <w:r w:rsidRPr="00531BD3">
        <w:rPr>
          <w:rtl/>
        </w:rPr>
        <w:t xml:space="preserve"> 5320/90 </w:t>
      </w:r>
      <w:r w:rsidRPr="00531BD3">
        <w:rPr>
          <w:rFonts w:ascii="Century" w:hAnsi="Century" w:cs="Miriam" w:hint="eastAsia"/>
          <w:b/>
          <w:spacing w:val="0"/>
          <w:sz w:val="22"/>
          <w:szCs w:val="24"/>
          <w:rtl/>
        </w:rPr>
        <w:t>א</w:t>
      </w:r>
      <w:r w:rsidRPr="00531BD3">
        <w:rPr>
          <w:rFonts w:ascii="Century" w:hAnsi="Century" w:cs="Miriam"/>
          <w:b/>
          <w:spacing w:val="0"/>
          <w:sz w:val="22"/>
          <w:szCs w:val="24"/>
          <w:rtl/>
        </w:rPr>
        <w:t>.</w:t>
      </w:r>
      <w:r w:rsidRPr="00531BD3">
        <w:rPr>
          <w:rFonts w:ascii="Century" w:hAnsi="Century" w:cs="Miriam" w:hint="eastAsia"/>
          <w:b/>
          <w:spacing w:val="0"/>
          <w:sz w:val="22"/>
          <w:szCs w:val="24"/>
          <w:rtl/>
        </w:rPr>
        <w:t>צ</w:t>
      </w:r>
      <w:r w:rsidRPr="00531BD3">
        <w:rPr>
          <w:rFonts w:ascii="Century" w:hAnsi="Century" w:cs="Miriam"/>
          <w:b/>
          <w:spacing w:val="0"/>
          <w:sz w:val="22"/>
          <w:szCs w:val="24"/>
          <w:rtl/>
        </w:rPr>
        <w:t xml:space="preserve">. </w:t>
      </w:r>
      <w:proofErr w:type="spellStart"/>
      <w:r w:rsidRPr="00531BD3">
        <w:rPr>
          <w:rFonts w:ascii="Century" w:hAnsi="Century" w:cs="Miriam" w:hint="eastAsia"/>
          <w:b/>
          <w:spacing w:val="0"/>
          <w:sz w:val="22"/>
          <w:szCs w:val="24"/>
          <w:rtl/>
        </w:rPr>
        <w:t>ברנוביץ</w:t>
      </w:r>
      <w:proofErr w:type="spellEnd"/>
      <w:r w:rsidRPr="00531BD3">
        <w:rPr>
          <w:rFonts w:ascii="Century" w:hAnsi="Century" w:cs="Miriam"/>
          <w:b/>
          <w:spacing w:val="0"/>
          <w:sz w:val="22"/>
          <w:szCs w:val="24"/>
          <w:rtl/>
        </w:rPr>
        <w:t xml:space="preserve"> </w:t>
      </w:r>
      <w:r w:rsidRPr="00531BD3">
        <w:rPr>
          <w:rFonts w:ascii="Century" w:hAnsi="Century" w:cs="Miriam" w:hint="cs"/>
          <w:b/>
          <w:spacing w:val="0"/>
          <w:szCs w:val="24"/>
          <w:rtl/>
        </w:rPr>
        <w:t xml:space="preserve">נכסים והשכרה בע"מ </w:t>
      </w:r>
      <w:r w:rsidRPr="00531BD3">
        <w:rPr>
          <w:rFonts w:ascii="Century" w:hAnsi="Century" w:cs="Miriam" w:hint="eastAsia"/>
          <w:b/>
          <w:spacing w:val="0"/>
          <w:sz w:val="22"/>
          <w:szCs w:val="24"/>
          <w:rtl/>
        </w:rPr>
        <w:t>נ</w:t>
      </w:r>
      <w:r w:rsidRPr="00531BD3">
        <w:rPr>
          <w:rFonts w:ascii="Century" w:hAnsi="Century" w:cs="Miriam"/>
          <w:b/>
          <w:spacing w:val="0"/>
          <w:sz w:val="22"/>
          <w:szCs w:val="24"/>
          <w:rtl/>
        </w:rPr>
        <w:t xml:space="preserve">' </w:t>
      </w:r>
      <w:r w:rsidRPr="00531BD3">
        <w:rPr>
          <w:rFonts w:ascii="Century" w:hAnsi="Century" w:cs="Miriam" w:hint="eastAsia"/>
          <w:b/>
          <w:spacing w:val="0"/>
          <w:sz w:val="22"/>
          <w:szCs w:val="24"/>
          <w:rtl/>
        </w:rPr>
        <w:t>רשות</w:t>
      </w:r>
      <w:r w:rsidRPr="00531BD3">
        <w:rPr>
          <w:rFonts w:ascii="Century" w:hAnsi="Century" w:cs="Miriam"/>
          <w:b/>
          <w:spacing w:val="0"/>
          <w:sz w:val="22"/>
          <w:szCs w:val="24"/>
          <w:rtl/>
        </w:rPr>
        <w:t xml:space="preserve"> </w:t>
      </w:r>
      <w:r w:rsidRPr="00531BD3">
        <w:rPr>
          <w:rFonts w:ascii="Century" w:hAnsi="Century" w:cs="Miriam" w:hint="eastAsia"/>
          <w:b/>
          <w:spacing w:val="0"/>
          <w:sz w:val="22"/>
          <w:szCs w:val="24"/>
          <w:rtl/>
        </w:rPr>
        <w:t>ניירות</w:t>
      </w:r>
      <w:r w:rsidRPr="00531BD3">
        <w:rPr>
          <w:rFonts w:ascii="Century" w:hAnsi="Century" w:cs="Miriam"/>
          <w:b/>
          <w:spacing w:val="0"/>
          <w:sz w:val="22"/>
          <w:szCs w:val="24"/>
          <w:rtl/>
        </w:rPr>
        <w:t xml:space="preserve"> </w:t>
      </w:r>
      <w:r w:rsidRPr="00531BD3">
        <w:rPr>
          <w:rFonts w:ascii="Century" w:hAnsi="Century" w:cs="Miriam" w:hint="eastAsia"/>
          <w:b/>
          <w:spacing w:val="0"/>
          <w:sz w:val="22"/>
          <w:szCs w:val="24"/>
          <w:rtl/>
        </w:rPr>
        <w:t>ערך</w:t>
      </w:r>
      <w:r w:rsidRPr="00531BD3">
        <w:rPr>
          <w:rtl/>
        </w:rPr>
        <w:t xml:space="preserve">, </w:t>
      </w:r>
      <w:r w:rsidRPr="00531BD3">
        <w:rPr>
          <w:rFonts w:hint="eastAsia"/>
          <w:rtl/>
        </w:rPr>
        <w:t>פ</w:t>
      </w:r>
      <w:r w:rsidRPr="00531BD3">
        <w:rPr>
          <w:rtl/>
        </w:rPr>
        <w:t>"</w:t>
      </w:r>
      <w:r w:rsidRPr="00531BD3">
        <w:rPr>
          <w:rFonts w:hint="eastAsia"/>
          <w:rtl/>
        </w:rPr>
        <w:t>ד</w:t>
      </w:r>
      <w:r w:rsidRPr="00531BD3">
        <w:rPr>
          <w:rtl/>
        </w:rPr>
        <w:t xml:space="preserve"> </w:t>
      </w:r>
      <w:r w:rsidRPr="00531BD3">
        <w:rPr>
          <w:rFonts w:hint="eastAsia"/>
          <w:rtl/>
        </w:rPr>
        <w:t>מו</w:t>
      </w:r>
      <w:r w:rsidRPr="00531BD3">
        <w:rPr>
          <w:rtl/>
        </w:rPr>
        <w:t xml:space="preserve">(2) 818, </w:t>
      </w:r>
      <w:r w:rsidRPr="00531BD3">
        <w:rPr>
          <w:rFonts w:hint="cs"/>
          <w:rtl/>
        </w:rPr>
        <w:t xml:space="preserve">830 </w:t>
      </w:r>
      <w:r w:rsidRPr="00531BD3">
        <w:rPr>
          <w:rtl/>
        </w:rPr>
        <w:t>(1992) (</w:t>
      </w:r>
      <w:r w:rsidRPr="00531BD3">
        <w:rPr>
          <w:rFonts w:hint="eastAsia"/>
          <w:rtl/>
        </w:rPr>
        <w:t>להלן</w:t>
      </w:r>
      <w:r w:rsidRPr="00531BD3">
        <w:rPr>
          <w:rtl/>
        </w:rPr>
        <w:t xml:space="preserve">: </w:t>
      </w:r>
      <w:r w:rsidRPr="00531BD3">
        <w:rPr>
          <w:rFonts w:hint="eastAsia"/>
          <w:rtl/>
        </w:rPr>
        <w:t>ענין</w:t>
      </w:r>
      <w:r w:rsidRPr="00531BD3">
        <w:rPr>
          <w:rtl/>
        </w:rPr>
        <w:t xml:space="preserve"> </w:t>
      </w:r>
      <w:proofErr w:type="spellStart"/>
      <w:r w:rsidRPr="00531BD3">
        <w:rPr>
          <w:rFonts w:ascii="Century" w:hAnsi="Century" w:cs="Miriam" w:hint="eastAsia"/>
          <w:b/>
          <w:spacing w:val="0"/>
          <w:sz w:val="22"/>
          <w:szCs w:val="24"/>
          <w:rtl/>
        </w:rPr>
        <w:t>ברנוביץ</w:t>
      </w:r>
      <w:proofErr w:type="spellEnd"/>
      <w:r w:rsidRPr="00531BD3">
        <w:rPr>
          <w:rFonts w:ascii="Century" w:hAnsi="Century" w:hint="cs"/>
          <w:sz w:val="22"/>
          <w:rtl/>
        </w:rPr>
        <w:t>);</w:t>
      </w:r>
      <w:r w:rsidRPr="00531BD3">
        <w:rPr>
          <w:rFonts w:hint="eastAsia"/>
          <w:rtl/>
        </w:rPr>
        <w:t xml:space="preserve"> </w:t>
      </w:r>
      <w:proofErr w:type="spellStart"/>
      <w:r w:rsidRPr="00531BD3">
        <w:rPr>
          <w:rFonts w:ascii="Century" w:hAnsi="Century" w:hint="eastAsia"/>
          <w:rtl/>
        </w:rPr>
        <w:t>רע</w:t>
      </w:r>
      <w:r w:rsidRPr="00531BD3">
        <w:rPr>
          <w:rFonts w:ascii="Century" w:hAnsi="Century" w:hint="cs"/>
          <w:rtl/>
        </w:rPr>
        <w:t>"</w:t>
      </w:r>
      <w:r w:rsidRPr="00531BD3">
        <w:rPr>
          <w:rFonts w:ascii="Century" w:hAnsi="Century" w:hint="eastAsia"/>
          <w:rtl/>
        </w:rPr>
        <w:t>פ</w:t>
      </w:r>
      <w:proofErr w:type="spellEnd"/>
      <w:r w:rsidRPr="00531BD3">
        <w:rPr>
          <w:rFonts w:ascii="Century" w:hAnsi="Century"/>
          <w:rtl/>
        </w:rPr>
        <w:t xml:space="preserve"> 11476/04</w:t>
      </w:r>
      <w:r w:rsidRPr="00531BD3">
        <w:rPr>
          <w:rFonts w:ascii="Century" w:hAnsi="Century" w:hint="cs"/>
          <w:rtl/>
        </w:rPr>
        <w:t xml:space="preserve"> </w:t>
      </w:r>
      <w:r w:rsidRPr="00531BD3">
        <w:rPr>
          <w:rFonts w:ascii="Century" w:hAnsi="Century" w:cs="Miriam" w:hint="eastAsia"/>
          <w:b/>
          <w:spacing w:val="0"/>
          <w:sz w:val="22"/>
          <w:szCs w:val="24"/>
          <w:rtl/>
        </w:rPr>
        <w:t>מדינת</w:t>
      </w:r>
      <w:r w:rsidRPr="00531BD3">
        <w:rPr>
          <w:rFonts w:ascii="Century" w:hAnsi="Century" w:cs="Miriam"/>
          <w:b/>
          <w:spacing w:val="0"/>
          <w:sz w:val="22"/>
          <w:szCs w:val="24"/>
          <w:rtl/>
        </w:rPr>
        <w:t xml:space="preserve"> </w:t>
      </w:r>
      <w:r w:rsidRPr="00531BD3">
        <w:rPr>
          <w:rFonts w:ascii="Century" w:hAnsi="Century" w:cs="Miriam" w:hint="eastAsia"/>
          <w:b/>
          <w:spacing w:val="0"/>
          <w:sz w:val="22"/>
          <w:szCs w:val="24"/>
          <w:rtl/>
        </w:rPr>
        <w:t>ישראל</w:t>
      </w:r>
      <w:r w:rsidRPr="00531BD3">
        <w:rPr>
          <w:rFonts w:ascii="Century" w:hAnsi="Century" w:cs="Miriam"/>
          <w:b/>
          <w:spacing w:val="0"/>
          <w:sz w:val="22"/>
          <w:szCs w:val="24"/>
          <w:rtl/>
        </w:rPr>
        <w:t xml:space="preserve"> </w:t>
      </w:r>
      <w:r w:rsidRPr="00531BD3">
        <w:rPr>
          <w:rFonts w:ascii="Century" w:hAnsi="Century" w:cs="Miriam" w:hint="eastAsia"/>
          <w:b/>
          <w:spacing w:val="0"/>
          <w:sz w:val="22"/>
          <w:szCs w:val="24"/>
          <w:rtl/>
        </w:rPr>
        <w:t>נ</w:t>
      </w:r>
      <w:r w:rsidRPr="00531BD3">
        <w:rPr>
          <w:rFonts w:ascii="Century" w:hAnsi="Century" w:cs="Miriam"/>
          <w:b/>
          <w:spacing w:val="0"/>
          <w:sz w:val="22"/>
          <w:szCs w:val="24"/>
          <w:rtl/>
        </w:rPr>
        <w:t xml:space="preserve">' </w:t>
      </w:r>
      <w:r w:rsidRPr="00531BD3">
        <w:rPr>
          <w:rFonts w:ascii="Century" w:hAnsi="Century" w:cs="Miriam" w:hint="eastAsia"/>
          <w:b/>
          <w:spacing w:val="0"/>
          <w:sz w:val="22"/>
          <w:szCs w:val="24"/>
          <w:rtl/>
        </w:rPr>
        <w:t>חברת</w:t>
      </w:r>
      <w:r w:rsidRPr="00531BD3">
        <w:rPr>
          <w:rFonts w:ascii="Century" w:hAnsi="Century" w:cs="Miriam"/>
          <w:b/>
          <w:spacing w:val="0"/>
          <w:sz w:val="22"/>
          <w:szCs w:val="24"/>
          <w:rtl/>
        </w:rPr>
        <w:t xml:space="preserve"> </w:t>
      </w:r>
      <w:r w:rsidRPr="00531BD3">
        <w:rPr>
          <w:rFonts w:ascii="Century" w:hAnsi="Century" w:cs="Miriam" w:hint="eastAsia"/>
          <w:b/>
          <w:spacing w:val="0"/>
          <w:sz w:val="22"/>
          <w:szCs w:val="24"/>
          <w:rtl/>
        </w:rPr>
        <w:t>השקעות</w:t>
      </w:r>
      <w:r w:rsidRPr="00531BD3">
        <w:rPr>
          <w:rFonts w:ascii="Century" w:hAnsi="Century" w:cs="Miriam"/>
          <w:b/>
          <w:spacing w:val="0"/>
          <w:sz w:val="22"/>
          <w:szCs w:val="24"/>
          <w:rtl/>
        </w:rPr>
        <w:t xml:space="preserve"> </w:t>
      </w:r>
      <w:r w:rsidRPr="00531BD3">
        <w:rPr>
          <w:rFonts w:ascii="Century" w:hAnsi="Century" w:cs="Miriam" w:hint="eastAsia"/>
          <w:b/>
          <w:spacing w:val="0"/>
          <w:sz w:val="22"/>
          <w:szCs w:val="24"/>
          <w:rtl/>
        </w:rPr>
        <w:t>דיסקונט</w:t>
      </w:r>
      <w:r w:rsidRPr="00531BD3">
        <w:rPr>
          <w:rFonts w:ascii="Century" w:hAnsi="Century" w:cs="Miriam"/>
          <w:b/>
          <w:spacing w:val="0"/>
          <w:sz w:val="22"/>
          <w:szCs w:val="24"/>
          <w:rtl/>
        </w:rPr>
        <w:t xml:space="preserve"> </w:t>
      </w:r>
      <w:r w:rsidRPr="00531BD3">
        <w:rPr>
          <w:rFonts w:ascii="Century" w:hAnsi="Century" w:cs="Miriam" w:hint="eastAsia"/>
          <w:b/>
          <w:spacing w:val="0"/>
          <w:sz w:val="22"/>
          <w:szCs w:val="24"/>
          <w:rtl/>
        </w:rPr>
        <w:t>בע</w:t>
      </w:r>
      <w:r w:rsidRPr="00531BD3">
        <w:rPr>
          <w:rFonts w:ascii="Century" w:hAnsi="Century" w:cs="Miriam"/>
          <w:b/>
          <w:spacing w:val="0"/>
          <w:sz w:val="22"/>
          <w:szCs w:val="24"/>
          <w:rtl/>
        </w:rPr>
        <w:t>"</w:t>
      </w:r>
      <w:r w:rsidRPr="00531BD3">
        <w:rPr>
          <w:rFonts w:ascii="Century" w:hAnsi="Century" w:cs="Miriam" w:hint="eastAsia"/>
          <w:b/>
          <w:spacing w:val="0"/>
          <w:sz w:val="22"/>
          <w:szCs w:val="24"/>
          <w:rtl/>
        </w:rPr>
        <w:t>מ</w:t>
      </w:r>
      <w:r w:rsidRPr="00531BD3">
        <w:rPr>
          <w:rFonts w:ascii="Century" w:hAnsi="Century" w:hint="cs"/>
          <w:rtl/>
        </w:rPr>
        <w:t>,</w:t>
      </w:r>
      <w:r w:rsidRPr="00531BD3">
        <w:rPr>
          <w:rFonts w:ascii="Century" w:hAnsi="Century" w:hint="cs"/>
          <w:sz w:val="22"/>
          <w:rtl/>
        </w:rPr>
        <w:t xml:space="preserve"> </w:t>
      </w:r>
      <w:r w:rsidRPr="00531BD3">
        <w:rPr>
          <w:rFonts w:ascii="Century" w:hAnsi="Century" w:hint="cs"/>
          <w:rtl/>
        </w:rPr>
        <w:t xml:space="preserve">פסקאות 120-119 (21.2.2010) (להלן: עניין </w:t>
      </w:r>
      <w:r w:rsidRPr="00531BD3">
        <w:rPr>
          <w:rFonts w:ascii="Century" w:hAnsi="Century" w:cs="Miriam" w:hint="cs"/>
          <w:b/>
          <w:spacing w:val="0"/>
          <w:sz w:val="22"/>
          <w:szCs w:val="24"/>
          <w:rtl/>
        </w:rPr>
        <w:t>חברת השקעות דיסקונט</w:t>
      </w:r>
      <w:r w:rsidRPr="00531BD3">
        <w:rPr>
          <w:rFonts w:ascii="Century" w:hAnsi="Century" w:hint="cs"/>
          <w:rtl/>
        </w:rPr>
        <w:t xml:space="preserve">); עניין </w:t>
      </w:r>
      <w:r w:rsidRPr="00531BD3">
        <w:rPr>
          <w:rFonts w:ascii="Century" w:hAnsi="Century" w:cs="Miriam" w:hint="eastAsia"/>
          <w:b/>
          <w:spacing w:val="0"/>
          <w:szCs w:val="24"/>
          <w:rtl/>
        </w:rPr>
        <w:t>הורוביץ</w:t>
      </w:r>
      <w:r w:rsidRPr="00531BD3">
        <w:rPr>
          <w:rFonts w:ascii="Century" w:hAnsi="Century" w:hint="cs"/>
          <w:rtl/>
        </w:rPr>
        <w:t xml:space="preserve">, פסקה 31). </w:t>
      </w:r>
      <w:r w:rsidRPr="00531BD3">
        <w:rPr>
          <w:rFonts w:hint="cs"/>
          <w:rtl/>
        </w:rPr>
        <w:t xml:space="preserve">ההנחה היא כי רק גילוי נאות יאפשר הפצה של מידע מהימן למשקיעים על מנת לאפשר להם לקבל החלטות מושכלות, ובה בעת ירתיע בעלי-כוח בחברות ציבוריות מפני תרמית ומניפולציות תוך מתן אפשרות לפקח על פעולותיהם </w:t>
      </w:r>
      <w:r w:rsidRPr="00531BD3">
        <w:rPr>
          <w:rtl/>
        </w:rPr>
        <w:t>(</w:t>
      </w:r>
      <w:r w:rsidRPr="00531BD3">
        <w:rPr>
          <w:rFonts w:hint="eastAsia"/>
          <w:rtl/>
        </w:rPr>
        <w:t>ע</w:t>
      </w:r>
      <w:r w:rsidRPr="00531BD3">
        <w:rPr>
          <w:rtl/>
        </w:rPr>
        <w:t>"</w:t>
      </w:r>
      <w:r w:rsidRPr="00531BD3">
        <w:rPr>
          <w:rFonts w:hint="eastAsia"/>
          <w:rtl/>
        </w:rPr>
        <w:t>פ</w:t>
      </w:r>
      <w:r w:rsidRPr="00531BD3">
        <w:rPr>
          <w:rtl/>
        </w:rPr>
        <w:t xml:space="preserve"> 4675/97 </w:t>
      </w:r>
      <w:proofErr w:type="spellStart"/>
      <w:r w:rsidRPr="00531BD3">
        <w:rPr>
          <w:rFonts w:ascii="Century" w:hAnsi="Century" w:cs="Miriam" w:hint="eastAsia"/>
          <w:b/>
          <w:spacing w:val="0"/>
          <w:sz w:val="22"/>
          <w:szCs w:val="24"/>
          <w:rtl/>
        </w:rPr>
        <w:t>רוזוב</w:t>
      </w:r>
      <w:proofErr w:type="spellEnd"/>
      <w:r w:rsidRPr="00531BD3">
        <w:rPr>
          <w:rFonts w:ascii="Century" w:hAnsi="Century" w:cs="Miriam"/>
          <w:b/>
          <w:spacing w:val="0"/>
          <w:sz w:val="22"/>
          <w:szCs w:val="24"/>
          <w:rtl/>
        </w:rPr>
        <w:t xml:space="preserve"> </w:t>
      </w:r>
      <w:r w:rsidRPr="00531BD3">
        <w:rPr>
          <w:rFonts w:ascii="Century" w:hAnsi="Century" w:cs="Miriam" w:hint="eastAsia"/>
          <w:b/>
          <w:spacing w:val="0"/>
          <w:sz w:val="22"/>
          <w:szCs w:val="24"/>
          <w:rtl/>
        </w:rPr>
        <w:t>נ</w:t>
      </w:r>
      <w:r w:rsidRPr="00531BD3">
        <w:rPr>
          <w:rFonts w:ascii="Century" w:hAnsi="Century" w:cs="Miriam"/>
          <w:b/>
          <w:spacing w:val="0"/>
          <w:sz w:val="22"/>
          <w:szCs w:val="24"/>
          <w:rtl/>
        </w:rPr>
        <w:t xml:space="preserve">' </w:t>
      </w:r>
      <w:r w:rsidRPr="00531BD3">
        <w:rPr>
          <w:rFonts w:ascii="Century" w:hAnsi="Century" w:cs="Miriam" w:hint="eastAsia"/>
          <w:b/>
          <w:spacing w:val="0"/>
          <w:sz w:val="22"/>
          <w:szCs w:val="24"/>
          <w:rtl/>
        </w:rPr>
        <w:t>מדינת</w:t>
      </w:r>
      <w:r w:rsidRPr="00531BD3">
        <w:rPr>
          <w:rFonts w:ascii="Century" w:hAnsi="Century" w:cs="Miriam"/>
          <w:b/>
          <w:spacing w:val="0"/>
          <w:sz w:val="22"/>
          <w:szCs w:val="24"/>
          <w:rtl/>
        </w:rPr>
        <w:t xml:space="preserve"> </w:t>
      </w:r>
      <w:r w:rsidRPr="00531BD3">
        <w:rPr>
          <w:rFonts w:ascii="Century" w:hAnsi="Century" w:cs="Miriam" w:hint="eastAsia"/>
          <w:b/>
          <w:spacing w:val="0"/>
          <w:sz w:val="22"/>
          <w:szCs w:val="24"/>
          <w:rtl/>
        </w:rPr>
        <w:t>ישראל</w:t>
      </w:r>
      <w:r w:rsidRPr="00531BD3">
        <w:rPr>
          <w:rtl/>
        </w:rPr>
        <w:t xml:space="preserve">, </w:t>
      </w:r>
      <w:r w:rsidRPr="00531BD3">
        <w:rPr>
          <w:rFonts w:hint="eastAsia"/>
          <w:rtl/>
        </w:rPr>
        <w:t>פ</w:t>
      </w:r>
      <w:r w:rsidRPr="00531BD3">
        <w:rPr>
          <w:rtl/>
        </w:rPr>
        <w:t>"</w:t>
      </w:r>
      <w:r w:rsidRPr="00531BD3">
        <w:rPr>
          <w:rFonts w:hint="eastAsia"/>
          <w:rtl/>
        </w:rPr>
        <w:t>ד</w:t>
      </w:r>
      <w:r w:rsidRPr="00531BD3">
        <w:rPr>
          <w:rtl/>
        </w:rPr>
        <w:t xml:space="preserve"> </w:t>
      </w:r>
      <w:proofErr w:type="spellStart"/>
      <w:r w:rsidRPr="00531BD3">
        <w:rPr>
          <w:rFonts w:hint="eastAsia"/>
          <w:rtl/>
        </w:rPr>
        <w:t>נג</w:t>
      </w:r>
      <w:proofErr w:type="spellEnd"/>
      <w:r w:rsidRPr="00531BD3">
        <w:rPr>
          <w:rtl/>
        </w:rPr>
        <w:t xml:space="preserve">(4) 337, </w:t>
      </w:r>
      <w:r w:rsidRPr="00531BD3">
        <w:rPr>
          <w:rFonts w:hint="cs"/>
          <w:rtl/>
        </w:rPr>
        <w:t xml:space="preserve">353 </w:t>
      </w:r>
      <w:r w:rsidRPr="00531BD3">
        <w:rPr>
          <w:rtl/>
        </w:rPr>
        <w:t>(1999</w:t>
      </w:r>
      <w:r w:rsidRPr="00531BD3">
        <w:rPr>
          <w:rFonts w:hint="cs"/>
          <w:rtl/>
        </w:rPr>
        <w:t xml:space="preserve">); עניין </w:t>
      </w:r>
      <w:r w:rsidRPr="00531BD3">
        <w:rPr>
          <w:rFonts w:ascii="Century" w:hAnsi="Century" w:cs="Miriam" w:hint="cs"/>
          <w:b/>
          <w:spacing w:val="0"/>
          <w:sz w:val="22"/>
          <w:szCs w:val="24"/>
          <w:rtl/>
        </w:rPr>
        <w:t>הורוביץ</w:t>
      </w:r>
      <w:r w:rsidRPr="00531BD3">
        <w:rPr>
          <w:rFonts w:hint="cs"/>
          <w:rtl/>
        </w:rPr>
        <w:t xml:space="preserve">, פסקה 32). </w:t>
      </w:r>
      <w:r w:rsidRPr="00531BD3">
        <w:rPr>
          <w:rFonts w:ascii="Century" w:hAnsi="Century" w:hint="cs"/>
          <w:rtl/>
        </w:rPr>
        <w:t>חובות הגילוי נועדו אפוא לא רק לאפשר לציבור המשקיעים לקבל החלטות רציונליות, אלא גם ליצור הרתעה בקרב בעלי-הכוח בחברה מהתנהגות בלתי ראויה (</w:t>
      </w:r>
      <w:r w:rsidRPr="00531BD3">
        <w:rPr>
          <w:rFonts w:ascii="Century" w:hAnsi="Century" w:hint="eastAsia"/>
          <w:rtl/>
        </w:rPr>
        <w:t>ע</w:t>
      </w:r>
      <w:r w:rsidRPr="00531BD3">
        <w:rPr>
          <w:rFonts w:ascii="Century" w:hAnsi="Century"/>
          <w:rtl/>
        </w:rPr>
        <w:t>"</w:t>
      </w:r>
      <w:r w:rsidRPr="00531BD3">
        <w:rPr>
          <w:rFonts w:ascii="Century" w:hAnsi="Century" w:hint="eastAsia"/>
          <w:rtl/>
        </w:rPr>
        <w:t>א</w:t>
      </w:r>
      <w:r w:rsidRPr="00531BD3">
        <w:rPr>
          <w:rFonts w:ascii="Century" w:hAnsi="Century"/>
          <w:rtl/>
        </w:rPr>
        <w:t xml:space="preserve"> 218/96 </w:t>
      </w:r>
      <w:r w:rsidRPr="00531BD3">
        <w:rPr>
          <w:rFonts w:ascii="Century" w:hAnsi="Century" w:cs="Miriam" w:hint="eastAsia"/>
          <w:b/>
          <w:spacing w:val="0"/>
          <w:sz w:val="22"/>
          <w:szCs w:val="24"/>
          <w:rtl/>
        </w:rPr>
        <w:t>ישקר</w:t>
      </w:r>
      <w:r w:rsidRPr="00531BD3">
        <w:rPr>
          <w:rFonts w:ascii="Century" w:hAnsi="Century" w:cs="Miriam"/>
          <w:b/>
          <w:spacing w:val="0"/>
          <w:sz w:val="22"/>
          <w:szCs w:val="24"/>
          <w:rtl/>
        </w:rPr>
        <w:t xml:space="preserve"> </w:t>
      </w:r>
      <w:r w:rsidRPr="00531BD3">
        <w:rPr>
          <w:rFonts w:ascii="Century" w:hAnsi="Century" w:cs="Miriam" w:hint="eastAsia"/>
          <w:b/>
          <w:spacing w:val="0"/>
          <w:sz w:val="22"/>
          <w:szCs w:val="24"/>
          <w:rtl/>
        </w:rPr>
        <w:t>בע</w:t>
      </w:r>
      <w:r w:rsidRPr="00531BD3">
        <w:rPr>
          <w:rFonts w:ascii="Century" w:hAnsi="Century" w:cs="Miriam"/>
          <w:b/>
          <w:spacing w:val="0"/>
          <w:sz w:val="22"/>
          <w:szCs w:val="24"/>
          <w:rtl/>
        </w:rPr>
        <w:t>"</w:t>
      </w:r>
      <w:r w:rsidRPr="00531BD3">
        <w:rPr>
          <w:rFonts w:ascii="Century" w:hAnsi="Century" w:cs="Miriam" w:hint="eastAsia"/>
          <w:b/>
          <w:spacing w:val="0"/>
          <w:sz w:val="22"/>
          <w:szCs w:val="24"/>
          <w:rtl/>
        </w:rPr>
        <w:t>מ</w:t>
      </w:r>
      <w:r w:rsidRPr="00531BD3">
        <w:rPr>
          <w:rFonts w:ascii="Century" w:hAnsi="Century" w:cs="Miriam"/>
          <w:b/>
          <w:spacing w:val="0"/>
          <w:sz w:val="22"/>
          <w:szCs w:val="24"/>
          <w:rtl/>
        </w:rPr>
        <w:t xml:space="preserve"> </w:t>
      </w:r>
      <w:r w:rsidRPr="00531BD3">
        <w:rPr>
          <w:rFonts w:ascii="Century" w:hAnsi="Century" w:cs="Miriam" w:hint="eastAsia"/>
          <w:b/>
          <w:spacing w:val="0"/>
          <w:sz w:val="22"/>
          <w:szCs w:val="24"/>
          <w:rtl/>
        </w:rPr>
        <w:t>נ</w:t>
      </w:r>
      <w:r w:rsidRPr="00531BD3">
        <w:rPr>
          <w:rFonts w:ascii="Century" w:hAnsi="Century" w:cs="Miriam"/>
          <w:b/>
          <w:spacing w:val="0"/>
          <w:sz w:val="22"/>
          <w:szCs w:val="24"/>
          <w:rtl/>
        </w:rPr>
        <w:t xml:space="preserve">' </w:t>
      </w:r>
      <w:r w:rsidRPr="00531BD3">
        <w:rPr>
          <w:rFonts w:ascii="Century" w:hAnsi="Century" w:cs="Miriam" w:hint="eastAsia"/>
          <w:b/>
          <w:spacing w:val="0"/>
          <w:sz w:val="22"/>
          <w:szCs w:val="24"/>
          <w:rtl/>
        </w:rPr>
        <w:t>חברת</w:t>
      </w:r>
      <w:r w:rsidRPr="00531BD3">
        <w:rPr>
          <w:rFonts w:ascii="Century" w:hAnsi="Century" w:cs="Miriam"/>
          <w:b/>
          <w:spacing w:val="0"/>
          <w:sz w:val="22"/>
          <w:szCs w:val="24"/>
          <w:rtl/>
        </w:rPr>
        <w:t xml:space="preserve"> </w:t>
      </w:r>
      <w:r w:rsidRPr="00531BD3">
        <w:rPr>
          <w:rFonts w:ascii="Century" w:hAnsi="Century" w:cs="Miriam" w:hint="eastAsia"/>
          <w:b/>
          <w:spacing w:val="0"/>
          <w:sz w:val="22"/>
          <w:szCs w:val="24"/>
          <w:rtl/>
        </w:rPr>
        <w:t>השקעות</w:t>
      </w:r>
      <w:r w:rsidRPr="00531BD3">
        <w:rPr>
          <w:rFonts w:ascii="Century" w:hAnsi="Century" w:cs="Miriam"/>
          <w:b/>
          <w:spacing w:val="0"/>
          <w:sz w:val="22"/>
          <w:szCs w:val="24"/>
          <w:rtl/>
        </w:rPr>
        <w:t xml:space="preserve"> </w:t>
      </w:r>
      <w:r w:rsidRPr="00531BD3">
        <w:rPr>
          <w:rFonts w:ascii="Century" w:hAnsi="Century" w:cs="Miriam" w:hint="eastAsia"/>
          <w:b/>
          <w:spacing w:val="0"/>
          <w:sz w:val="22"/>
          <w:szCs w:val="24"/>
          <w:rtl/>
        </w:rPr>
        <w:t>דיסקונט</w:t>
      </w:r>
      <w:r w:rsidRPr="00531BD3">
        <w:rPr>
          <w:rFonts w:ascii="Century" w:hAnsi="Century" w:cs="Miriam"/>
          <w:b/>
          <w:spacing w:val="0"/>
          <w:sz w:val="22"/>
          <w:szCs w:val="24"/>
          <w:rtl/>
        </w:rPr>
        <w:t xml:space="preserve"> </w:t>
      </w:r>
      <w:r w:rsidRPr="00531BD3">
        <w:rPr>
          <w:rFonts w:ascii="Century" w:hAnsi="Century" w:cs="Miriam" w:hint="eastAsia"/>
          <w:b/>
          <w:spacing w:val="0"/>
          <w:sz w:val="22"/>
          <w:szCs w:val="24"/>
          <w:rtl/>
        </w:rPr>
        <w:t>בע</w:t>
      </w:r>
      <w:r w:rsidRPr="00531BD3">
        <w:rPr>
          <w:rFonts w:ascii="Century" w:hAnsi="Century" w:cs="Miriam"/>
          <w:b/>
          <w:spacing w:val="0"/>
          <w:sz w:val="22"/>
          <w:szCs w:val="24"/>
          <w:rtl/>
        </w:rPr>
        <w:t>"</w:t>
      </w:r>
      <w:r w:rsidRPr="00531BD3">
        <w:rPr>
          <w:rFonts w:ascii="Century" w:hAnsi="Century" w:cs="Miriam" w:hint="eastAsia"/>
          <w:b/>
          <w:spacing w:val="0"/>
          <w:sz w:val="22"/>
          <w:szCs w:val="24"/>
          <w:rtl/>
        </w:rPr>
        <w:t>מ</w:t>
      </w:r>
      <w:r w:rsidRPr="00531BD3">
        <w:rPr>
          <w:rFonts w:ascii="Century" w:hAnsi="Century"/>
          <w:rtl/>
        </w:rPr>
        <w:t xml:space="preserve">, </w:t>
      </w:r>
      <w:r w:rsidRPr="00531BD3">
        <w:rPr>
          <w:rFonts w:ascii="Century" w:hAnsi="Century" w:hint="cs"/>
          <w:rtl/>
        </w:rPr>
        <w:t xml:space="preserve">פסקאות 23-21 </w:t>
      </w:r>
      <w:r w:rsidRPr="00531BD3">
        <w:rPr>
          <w:rFonts w:ascii="Century" w:hAnsi="Century"/>
          <w:rtl/>
        </w:rPr>
        <w:t>(21.8.1997)</w:t>
      </w:r>
      <w:r w:rsidRPr="00531BD3">
        <w:rPr>
          <w:rFonts w:ascii="Century" w:hAnsi="Century" w:hint="cs"/>
          <w:rtl/>
        </w:rPr>
        <w:t xml:space="preserve">; עניין </w:t>
      </w:r>
      <w:r w:rsidRPr="00531BD3">
        <w:rPr>
          <w:rFonts w:ascii="Century" w:hAnsi="Century" w:cs="Miriam" w:hint="eastAsia"/>
          <w:b/>
          <w:spacing w:val="0"/>
          <w:sz w:val="22"/>
          <w:szCs w:val="24"/>
          <w:rtl/>
        </w:rPr>
        <w:t>חברת</w:t>
      </w:r>
      <w:r w:rsidRPr="00531BD3">
        <w:rPr>
          <w:rFonts w:ascii="Century" w:hAnsi="Century" w:cs="Miriam"/>
          <w:b/>
          <w:spacing w:val="0"/>
          <w:sz w:val="22"/>
          <w:szCs w:val="24"/>
          <w:rtl/>
        </w:rPr>
        <w:t xml:space="preserve"> </w:t>
      </w:r>
      <w:r w:rsidRPr="00531BD3">
        <w:rPr>
          <w:rFonts w:ascii="Century" w:hAnsi="Century" w:cs="Miriam" w:hint="eastAsia"/>
          <w:b/>
          <w:spacing w:val="0"/>
          <w:sz w:val="22"/>
          <w:szCs w:val="24"/>
          <w:rtl/>
        </w:rPr>
        <w:t>השקעות</w:t>
      </w:r>
      <w:r w:rsidRPr="00531BD3">
        <w:rPr>
          <w:rFonts w:ascii="Century" w:hAnsi="Century" w:cs="Miriam"/>
          <w:b/>
          <w:spacing w:val="0"/>
          <w:sz w:val="22"/>
          <w:szCs w:val="24"/>
          <w:rtl/>
        </w:rPr>
        <w:t xml:space="preserve"> </w:t>
      </w:r>
      <w:r w:rsidRPr="00531BD3">
        <w:rPr>
          <w:rFonts w:ascii="Century" w:hAnsi="Century" w:cs="Miriam" w:hint="eastAsia"/>
          <w:b/>
          <w:spacing w:val="0"/>
          <w:sz w:val="22"/>
          <w:szCs w:val="24"/>
          <w:rtl/>
        </w:rPr>
        <w:t>דיסקונט</w:t>
      </w:r>
      <w:r w:rsidRPr="00531BD3">
        <w:rPr>
          <w:rFonts w:ascii="Century" w:hAnsi="Century" w:cs="Miriam"/>
          <w:b/>
          <w:spacing w:val="0"/>
          <w:sz w:val="22"/>
          <w:szCs w:val="24"/>
          <w:rtl/>
        </w:rPr>
        <w:t xml:space="preserve"> </w:t>
      </w:r>
      <w:r w:rsidRPr="00531BD3">
        <w:rPr>
          <w:rFonts w:ascii="Century" w:hAnsi="Century" w:cs="Miriam" w:hint="eastAsia"/>
          <w:b/>
          <w:spacing w:val="0"/>
          <w:sz w:val="22"/>
          <w:szCs w:val="24"/>
          <w:rtl/>
        </w:rPr>
        <w:t>בע</w:t>
      </w:r>
      <w:r w:rsidRPr="00531BD3">
        <w:rPr>
          <w:rFonts w:ascii="Century" w:hAnsi="Century" w:cs="Miriam"/>
          <w:b/>
          <w:spacing w:val="0"/>
          <w:sz w:val="22"/>
          <w:szCs w:val="24"/>
          <w:rtl/>
        </w:rPr>
        <w:t>"</w:t>
      </w:r>
      <w:r w:rsidRPr="00531BD3">
        <w:rPr>
          <w:rFonts w:ascii="Century" w:hAnsi="Century" w:cs="Miriam" w:hint="eastAsia"/>
          <w:b/>
          <w:spacing w:val="0"/>
          <w:sz w:val="22"/>
          <w:szCs w:val="24"/>
          <w:rtl/>
        </w:rPr>
        <w:t>מ</w:t>
      </w:r>
      <w:r w:rsidRPr="00531BD3">
        <w:rPr>
          <w:rFonts w:ascii="Century" w:hAnsi="Century" w:hint="cs"/>
          <w:sz w:val="22"/>
          <w:rtl/>
        </w:rPr>
        <w:t xml:space="preserve">, </w:t>
      </w:r>
      <w:r w:rsidRPr="00531BD3">
        <w:rPr>
          <w:rFonts w:ascii="Century" w:hAnsi="Century" w:hint="cs"/>
          <w:rtl/>
        </w:rPr>
        <w:t>פסקה 123). הנחת היסוד היא כי "</w:t>
      </w:r>
      <w:r w:rsidRPr="00531BD3">
        <w:rPr>
          <w:rFonts w:ascii="Century" w:hAnsi="Century" w:hint="eastAsia"/>
          <w:rtl/>
        </w:rPr>
        <w:t>לא</w:t>
      </w:r>
      <w:r w:rsidRPr="00531BD3">
        <w:rPr>
          <w:rFonts w:ascii="Century" w:hAnsi="Century"/>
          <w:rtl/>
        </w:rPr>
        <w:t xml:space="preserve"> </w:t>
      </w:r>
      <w:r w:rsidRPr="00531BD3">
        <w:rPr>
          <w:rFonts w:ascii="Century" w:hAnsi="Century" w:hint="eastAsia"/>
          <w:rtl/>
        </w:rPr>
        <w:t>ניתן</w:t>
      </w:r>
      <w:r w:rsidRPr="00531BD3">
        <w:rPr>
          <w:rFonts w:ascii="Century" w:hAnsi="Century"/>
          <w:rtl/>
        </w:rPr>
        <w:t xml:space="preserve"> </w:t>
      </w:r>
      <w:r w:rsidRPr="00531BD3">
        <w:rPr>
          <w:rFonts w:ascii="Century" w:hAnsi="Century" w:hint="eastAsia"/>
          <w:rtl/>
        </w:rPr>
        <w:t>לנהל</w:t>
      </w:r>
      <w:r w:rsidRPr="00531BD3">
        <w:rPr>
          <w:rFonts w:ascii="Century" w:hAnsi="Century"/>
          <w:rtl/>
        </w:rPr>
        <w:t xml:space="preserve"> </w:t>
      </w:r>
      <w:r w:rsidRPr="00531BD3">
        <w:rPr>
          <w:rFonts w:ascii="Century" w:hAnsi="Century" w:hint="eastAsia"/>
          <w:rtl/>
        </w:rPr>
        <w:t>שוק</w:t>
      </w:r>
      <w:r w:rsidRPr="00531BD3">
        <w:rPr>
          <w:rFonts w:ascii="Century" w:hAnsi="Century"/>
          <w:rtl/>
        </w:rPr>
        <w:t xml:space="preserve"> </w:t>
      </w:r>
      <w:r w:rsidRPr="00531BD3">
        <w:rPr>
          <w:rFonts w:ascii="Century" w:hAnsi="Century" w:hint="eastAsia"/>
          <w:rtl/>
        </w:rPr>
        <w:t>הוגן</w:t>
      </w:r>
      <w:r w:rsidRPr="00531BD3">
        <w:rPr>
          <w:rFonts w:ascii="Century" w:hAnsi="Century"/>
          <w:rtl/>
        </w:rPr>
        <w:t xml:space="preserve"> </w:t>
      </w:r>
      <w:r w:rsidRPr="00531BD3">
        <w:rPr>
          <w:rFonts w:ascii="Century" w:hAnsi="Century" w:hint="eastAsia"/>
          <w:rtl/>
        </w:rPr>
        <w:t>ללא</w:t>
      </w:r>
      <w:r w:rsidRPr="00531BD3">
        <w:rPr>
          <w:rFonts w:ascii="Century" w:hAnsi="Century"/>
          <w:rtl/>
        </w:rPr>
        <w:t xml:space="preserve"> </w:t>
      </w:r>
      <w:r w:rsidRPr="00531BD3">
        <w:rPr>
          <w:rFonts w:ascii="Century" w:hAnsi="Century" w:hint="eastAsia"/>
          <w:rtl/>
        </w:rPr>
        <w:t>פומביות</w:t>
      </w:r>
      <w:r w:rsidRPr="00531BD3">
        <w:rPr>
          <w:rFonts w:ascii="Century" w:hAnsi="Century"/>
          <w:rtl/>
        </w:rPr>
        <w:t xml:space="preserve"> </w:t>
      </w:r>
      <w:r w:rsidRPr="00531BD3">
        <w:rPr>
          <w:rFonts w:ascii="Century" w:hAnsi="Century" w:hint="eastAsia"/>
          <w:rtl/>
        </w:rPr>
        <w:t>הגונה</w:t>
      </w:r>
      <w:r w:rsidRPr="00531BD3">
        <w:rPr>
          <w:rFonts w:ascii="Century" w:hAnsi="Century"/>
          <w:rtl/>
        </w:rPr>
        <w:t xml:space="preserve">, </w:t>
      </w:r>
      <w:r w:rsidRPr="00531BD3">
        <w:rPr>
          <w:rFonts w:ascii="Century" w:hAnsi="Century" w:hint="eastAsia"/>
          <w:rtl/>
        </w:rPr>
        <w:t>שכן</w:t>
      </w:r>
      <w:r w:rsidRPr="00531BD3">
        <w:rPr>
          <w:rFonts w:ascii="Century" w:hAnsi="Century"/>
          <w:rtl/>
        </w:rPr>
        <w:t xml:space="preserve"> </w:t>
      </w:r>
      <w:r w:rsidRPr="00531BD3">
        <w:rPr>
          <w:rFonts w:ascii="Century" w:hAnsi="Century" w:hint="eastAsia"/>
          <w:rtl/>
        </w:rPr>
        <w:t>מניפולציה</w:t>
      </w:r>
      <w:r w:rsidRPr="00531BD3">
        <w:rPr>
          <w:rFonts w:ascii="Century" w:hAnsi="Century"/>
          <w:rtl/>
        </w:rPr>
        <w:t xml:space="preserve"> </w:t>
      </w:r>
      <w:r w:rsidRPr="00531BD3">
        <w:rPr>
          <w:rFonts w:ascii="Century" w:hAnsi="Century" w:hint="eastAsia"/>
          <w:rtl/>
        </w:rPr>
        <w:t>והתנהגות</w:t>
      </w:r>
      <w:r w:rsidRPr="00531BD3">
        <w:rPr>
          <w:rFonts w:ascii="Century" w:hAnsi="Century"/>
          <w:rtl/>
        </w:rPr>
        <w:t xml:space="preserve"> </w:t>
      </w:r>
      <w:r w:rsidRPr="00531BD3">
        <w:rPr>
          <w:rFonts w:ascii="Century" w:hAnsi="Century" w:hint="eastAsia"/>
          <w:rtl/>
        </w:rPr>
        <w:t>לא</w:t>
      </w:r>
      <w:r w:rsidRPr="00531BD3">
        <w:rPr>
          <w:rFonts w:ascii="Century" w:hAnsi="Century"/>
          <w:rtl/>
        </w:rPr>
        <w:t xml:space="preserve"> </w:t>
      </w:r>
      <w:r w:rsidRPr="00531BD3">
        <w:rPr>
          <w:rFonts w:ascii="Century" w:hAnsi="Century" w:hint="eastAsia"/>
          <w:rtl/>
        </w:rPr>
        <w:t>הגונה</w:t>
      </w:r>
      <w:r w:rsidRPr="00531BD3">
        <w:rPr>
          <w:rFonts w:ascii="Century" w:hAnsi="Century"/>
          <w:rtl/>
        </w:rPr>
        <w:t xml:space="preserve"> </w:t>
      </w:r>
      <w:r w:rsidRPr="00531BD3">
        <w:rPr>
          <w:rFonts w:ascii="Century" w:hAnsi="Century" w:hint="eastAsia"/>
          <w:rtl/>
        </w:rPr>
        <w:t>בשוק</w:t>
      </w:r>
      <w:r w:rsidRPr="00531BD3">
        <w:rPr>
          <w:rFonts w:ascii="Century" w:hAnsi="Century"/>
          <w:rtl/>
        </w:rPr>
        <w:t xml:space="preserve"> </w:t>
      </w:r>
      <w:r w:rsidRPr="00531BD3">
        <w:rPr>
          <w:rFonts w:ascii="Century" w:hAnsi="Century" w:hint="eastAsia"/>
          <w:rtl/>
        </w:rPr>
        <w:t>ההון</w:t>
      </w:r>
      <w:r w:rsidRPr="00531BD3">
        <w:rPr>
          <w:rFonts w:ascii="Century" w:hAnsi="Century"/>
          <w:rtl/>
        </w:rPr>
        <w:t xml:space="preserve"> </w:t>
      </w:r>
      <w:r w:rsidRPr="00531BD3">
        <w:rPr>
          <w:rFonts w:ascii="Century" w:hAnsi="Century" w:hint="eastAsia"/>
          <w:rtl/>
        </w:rPr>
        <w:t>משגשגות</w:t>
      </w:r>
      <w:r w:rsidRPr="00531BD3">
        <w:rPr>
          <w:rFonts w:ascii="Century" w:hAnsi="Century"/>
          <w:rtl/>
        </w:rPr>
        <w:t xml:space="preserve"> </w:t>
      </w:r>
      <w:r w:rsidRPr="00531BD3">
        <w:rPr>
          <w:rFonts w:ascii="Century" w:hAnsi="Century" w:hint="eastAsia"/>
          <w:rtl/>
        </w:rPr>
        <w:t>בתנאי</w:t>
      </w:r>
      <w:r w:rsidRPr="00531BD3">
        <w:rPr>
          <w:rFonts w:ascii="Century" w:hAnsi="Century"/>
          <w:rtl/>
        </w:rPr>
        <w:t xml:space="preserve"> </w:t>
      </w:r>
      <w:r w:rsidRPr="00531BD3">
        <w:rPr>
          <w:rFonts w:ascii="Century" w:hAnsi="Century" w:hint="eastAsia"/>
          <w:rtl/>
        </w:rPr>
        <w:t>מסתורין</w:t>
      </w:r>
      <w:r w:rsidRPr="00531BD3">
        <w:rPr>
          <w:rFonts w:ascii="Century" w:hAnsi="Century"/>
          <w:rtl/>
        </w:rPr>
        <w:t xml:space="preserve"> </w:t>
      </w:r>
      <w:r w:rsidRPr="00531BD3">
        <w:rPr>
          <w:rFonts w:ascii="Century" w:hAnsi="Century" w:hint="eastAsia"/>
          <w:rtl/>
        </w:rPr>
        <w:t>וסודיות</w:t>
      </w:r>
      <w:r w:rsidRPr="00531BD3">
        <w:rPr>
          <w:rFonts w:ascii="Century" w:hAnsi="Century"/>
          <w:rtl/>
        </w:rPr>
        <w:t>" (</w:t>
      </w:r>
      <w:r w:rsidRPr="00531BD3">
        <w:rPr>
          <w:rFonts w:ascii="Century" w:hAnsi="Century" w:hint="eastAsia"/>
          <w:rtl/>
        </w:rPr>
        <w:t>עניין</w:t>
      </w:r>
      <w:r w:rsidRPr="00531BD3">
        <w:rPr>
          <w:rFonts w:ascii="Century" w:hAnsi="Century"/>
          <w:rtl/>
        </w:rPr>
        <w:t xml:space="preserve"> </w:t>
      </w:r>
      <w:proofErr w:type="spellStart"/>
      <w:r w:rsidRPr="00531BD3">
        <w:rPr>
          <w:rFonts w:ascii="Century" w:hAnsi="Century" w:cs="Miriam" w:hint="eastAsia"/>
          <w:b/>
          <w:spacing w:val="0"/>
          <w:sz w:val="22"/>
          <w:szCs w:val="24"/>
          <w:rtl/>
        </w:rPr>
        <w:t>ברנוביץ</w:t>
      </w:r>
      <w:proofErr w:type="spellEnd"/>
      <w:r w:rsidRPr="00531BD3">
        <w:rPr>
          <w:rFonts w:ascii="Century" w:hAnsi="Century"/>
          <w:rtl/>
        </w:rPr>
        <w:t xml:space="preserve">, </w:t>
      </w:r>
      <w:r w:rsidRPr="00531BD3">
        <w:rPr>
          <w:rFonts w:ascii="Century" w:hAnsi="Century" w:hint="eastAsia"/>
          <w:rtl/>
        </w:rPr>
        <w:t>עמ</w:t>
      </w:r>
      <w:r w:rsidRPr="00531BD3">
        <w:rPr>
          <w:rFonts w:ascii="Century" w:hAnsi="Century"/>
          <w:rtl/>
        </w:rPr>
        <w:t xml:space="preserve">' </w:t>
      </w:r>
      <w:r w:rsidRPr="00531BD3">
        <w:rPr>
          <w:rFonts w:ascii="Century" w:hAnsi="Century" w:hint="cs"/>
          <w:rtl/>
        </w:rPr>
        <w:t xml:space="preserve">831-830). </w:t>
      </w:r>
    </w:p>
    <w:p w:rsidR="008A4DD4" w:rsidRPr="00531BD3" w:rsidRDefault="008A4DD4" w:rsidP="008A4DD4">
      <w:pPr>
        <w:pStyle w:val="Ruller4"/>
        <w:numPr>
          <w:ilvl w:val="0"/>
          <w:numId w:val="0"/>
        </w:numPr>
      </w:pPr>
    </w:p>
    <w:p w:rsidR="008A4DD4" w:rsidRPr="00531BD3" w:rsidRDefault="008A4DD4" w:rsidP="008A4DD4">
      <w:pPr>
        <w:pStyle w:val="Ruller4"/>
      </w:pPr>
      <w:r w:rsidRPr="00531BD3">
        <w:rPr>
          <w:rFonts w:ascii="Century" w:hAnsi="Century" w:hint="cs"/>
          <w:rtl/>
        </w:rPr>
        <w:lastRenderedPageBreak/>
        <w:t>קביעת בית המשפט כי בענייננו לא היה מדובר במידע "חשוב למשקיע סביר" שכן משקיע סביר איננו "מוטרד" מזליגת מידע מתוך הוועדה אלא רק בסוגיית "טובת החברה", מחמיצה לעניות דעתי את התמונה הכוללת</w:t>
      </w:r>
      <w:r>
        <w:rPr>
          <w:rFonts w:ascii="Century" w:hAnsi="Century" w:hint="cs"/>
          <w:rtl/>
        </w:rPr>
        <w:t xml:space="preserve"> ומקדימה את זמנה</w:t>
      </w:r>
      <w:r w:rsidRPr="00531BD3">
        <w:rPr>
          <w:rFonts w:ascii="Century" w:hAnsi="Century" w:hint="cs"/>
          <w:rtl/>
        </w:rPr>
        <w:t xml:space="preserve">. על פי עובדות כתב האישום, בכל אחת מהעסקאות, </w:t>
      </w:r>
      <w:r w:rsidRPr="00531BD3">
        <w:rPr>
          <w:rFonts w:hint="cs"/>
          <w:rtl/>
        </w:rPr>
        <w:t xml:space="preserve">דוח העסקה פירט היבטים שונים של אופן פעולת הוועדה </w:t>
      </w:r>
      <w:r w:rsidRPr="00531BD3">
        <w:rPr>
          <w:rFonts w:ascii="Century" w:hAnsi="Century" w:cs="Miriam" w:hint="cs"/>
          <w:b/>
          <w:spacing w:val="0"/>
          <w:sz w:val="22"/>
          <w:szCs w:val="24"/>
          <w:rtl/>
        </w:rPr>
        <w:t>שנועדו להבטיח את אי-תלותה ועצמאותה</w:t>
      </w:r>
      <w:r w:rsidRPr="00531BD3">
        <w:rPr>
          <w:rFonts w:hint="cs"/>
          <w:rtl/>
        </w:rPr>
        <w:t xml:space="preserve"> (סעיפים 125 ו-176 לכתב האישום). בכלל זה, על פי כתב האישום, בעניינה של עסקת בזק-יס פורט בדוח העסקה כי מונתה על ידי דירקטוריון בזק ועדה בלתי תלויה לבחינת האפשרויות השונות העומדות בפני החברה, כאשר ועדה זו הורכבה מדירקטורים חיצוניים; הוועדה שכרה יועצים חיצוניים בלתי תלויים; הוועדה ניהלה את המשא ומתן; הגורם המוסמך לעדכן את ועדת הביקורת ואת דירקטוריון בזק על התפתחויות בוועדה היה יו"ר הוועדה; וכל ישיבות הדירקטוריון שאליהן התייחס דוח העסקה התקיימו ללא נוכחות הדירקטורים בעלי העניין האישי (סעיף 125 לכתב האישום). באופן דומה, גם בעניינה של עסקת יס-חלל פורט בדוח העסקה בדבר מינוי הוועדה הבלתי תלויה שהורכבה מדירקטורים חיצוניים; הוועדה התקשרה עם יועץ חיצוני ובלתי תלוי; הוועדה קיימה ישיבות עצמאיות כאשר יו"ר הוועדה הוביל את המשא ומתן ביחס לעסקת יס-חלל כנציג הוועדה הבלתי תלויה; כי הבחירה בחלופה שנבחרה נעשתה לאחר תהליך יסודי ומעמיק בתום מיון קפדני, וכן לאחר שהוועדה בחנה את החלופות השונות וקיבלה את החלטתה בהסתמך על בדיקות שביצעה ועל חוות דעתו של היועץ החיצוני; וכי ישיבות הועדה הבלתי תלויה, ועדת הביקורת והדירקטוריון שבהן אושרה ההתקשרות התקיימו ללא נוכחות או השתתפות של הדירקטורים בעלי העניין האישי (סעיף 176 לכתב האישום). </w:t>
      </w:r>
    </w:p>
    <w:p w:rsidR="008A4DD4" w:rsidRPr="00531BD3" w:rsidRDefault="008A4DD4" w:rsidP="008A4DD4">
      <w:pPr>
        <w:pStyle w:val="Ruller4"/>
        <w:numPr>
          <w:ilvl w:val="0"/>
          <w:numId w:val="0"/>
        </w:numPr>
        <w:rPr>
          <w:rtl/>
        </w:rPr>
      </w:pPr>
    </w:p>
    <w:p w:rsidR="008A4DD4" w:rsidRPr="00531BD3" w:rsidRDefault="008A4DD4" w:rsidP="008A4DD4">
      <w:pPr>
        <w:pStyle w:val="Ruller4"/>
        <w:numPr>
          <w:ilvl w:val="0"/>
          <w:numId w:val="0"/>
        </w:numPr>
        <w:rPr>
          <w:rtl/>
        </w:rPr>
      </w:pPr>
      <w:r w:rsidRPr="00531BD3">
        <w:rPr>
          <w:rtl/>
        </w:rPr>
        <w:tab/>
      </w:r>
      <w:r w:rsidRPr="00531BD3">
        <w:rPr>
          <w:rFonts w:hint="cs"/>
          <w:rtl/>
        </w:rPr>
        <w:t xml:space="preserve">על פני הדברים, תיאור תהליכי אישור העסקה באופן האמור בדוחות העסקה נועד לשקף מצג מסוים לגבי אופן קבלת ההחלטה המובאת לאישור האסיפה הכללית </w:t>
      </w:r>
      <w:r w:rsidRPr="00531BD3">
        <w:rPr>
          <w:rtl/>
        </w:rPr>
        <w:t>–</w:t>
      </w:r>
      <w:r w:rsidRPr="00531BD3">
        <w:rPr>
          <w:rFonts w:hint="cs"/>
          <w:rtl/>
        </w:rPr>
        <w:t xml:space="preserve"> תוך מתן דגש לאמצעים שננקטו על מנת </w:t>
      </w:r>
      <w:r w:rsidRPr="00531BD3">
        <w:rPr>
          <w:rFonts w:ascii="Century" w:hAnsi="Century" w:cs="Miriam" w:hint="cs"/>
          <w:b/>
          <w:spacing w:val="0"/>
          <w:sz w:val="22"/>
          <w:szCs w:val="24"/>
          <w:rtl/>
        </w:rPr>
        <w:t>להפריד</w:t>
      </w:r>
      <w:r w:rsidRPr="00531BD3">
        <w:rPr>
          <w:rFonts w:hint="cs"/>
          <w:rtl/>
        </w:rPr>
        <w:t xml:space="preserve"> את בעלי העניין מהליך קבלת ההחלטות ולדמות </w:t>
      </w:r>
      <w:r w:rsidRPr="00531BD3">
        <w:rPr>
          <w:rFonts w:hint="eastAsia"/>
          <w:rtl/>
        </w:rPr>
        <w:t>הליך של</w:t>
      </w:r>
      <w:r w:rsidRPr="00531BD3">
        <w:rPr>
          <w:rFonts w:hint="cs"/>
          <w:rtl/>
        </w:rPr>
        <w:t xml:space="preserve"> משא ומתן בתנאי שוק. הקביעה כי מדובר בהיבט שאינו מעניינם של בעלי המניות, אשר חפצים אך ורק בתשובה לשאלה האם מדובר במהלך שנעשה "לטובת החברה", איננה מובנית מאליה. שאם לא כן, מדוע פורטו בדוח העסקה אותם צעדים שננקטו, תוך הדגשת העובדה שקבלת ההחלטות נעשתה על ידי מנגנון בלתי-תלוי, שבראשו עמדו דירקטורים חיצוניים, תוך התייעצות עם גורמים חיצוניים וללא נוכחותם או השתתפותם של בעלי העניין? ואם כבר נפרשה לנגד עיני המשקיעים התמונה בדבר תהליכי העבודה שהובילו להחלטות על התקשרות בעסקאות </w:t>
      </w:r>
      <w:r w:rsidRPr="00531BD3">
        <w:rPr>
          <w:rtl/>
        </w:rPr>
        <w:t>–</w:t>
      </w:r>
      <w:r w:rsidRPr="00531BD3">
        <w:rPr>
          <w:rFonts w:hint="cs"/>
          <w:rtl/>
        </w:rPr>
        <w:t xml:space="preserve"> תוך הדגשת הפרדתם של בעלי העניין מהתהליך, לא </w:t>
      </w:r>
      <w:r w:rsidRPr="00531BD3">
        <w:rPr>
          <w:rFonts w:hint="eastAsia"/>
          <w:rtl/>
        </w:rPr>
        <w:t>ניתן לומר</w:t>
      </w:r>
      <w:r w:rsidRPr="00531BD3">
        <w:rPr>
          <w:rFonts w:hint="cs"/>
          <w:rtl/>
        </w:rPr>
        <w:t xml:space="preserve"> כי "השמטת" אותם צעדים אשר בוצעו (על פי עובדות כתב האישום) על ידי בעלי העניין החותרים תחת הפרדה זו, אינה מעניינם של המשקיעים. הדבר אף חותר תחת אחד מהרציונליים המרכזיים העומדים בבסיס חובת </w:t>
      </w:r>
      <w:r w:rsidRPr="00531BD3">
        <w:rPr>
          <w:rFonts w:hint="cs"/>
          <w:rtl/>
        </w:rPr>
        <w:lastRenderedPageBreak/>
        <w:t xml:space="preserve">הגילוי כאמור, והוא יצירת הרתעה בקרב החברה ומנהליה מהתנהגויות בלתי ראויות (או למשל: עניין </w:t>
      </w:r>
      <w:r w:rsidRPr="00531BD3">
        <w:rPr>
          <w:rFonts w:ascii="Century" w:hAnsi="Century" w:cs="Miriam" w:hint="cs"/>
          <w:b/>
          <w:spacing w:val="0"/>
          <w:sz w:val="22"/>
          <w:szCs w:val="24"/>
          <w:rtl/>
        </w:rPr>
        <w:t>חברת השקעות דיסקונט</w:t>
      </w:r>
      <w:r w:rsidRPr="00531BD3">
        <w:rPr>
          <w:rFonts w:hint="cs"/>
          <w:rtl/>
        </w:rPr>
        <w:t>, פסקה 124).</w:t>
      </w:r>
    </w:p>
    <w:p w:rsidR="008A4DD4" w:rsidRPr="00531BD3" w:rsidRDefault="008A4DD4" w:rsidP="008A4DD4">
      <w:pPr>
        <w:pStyle w:val="Ruller41"/>
        <w:rPr>
          <w:rtl/>
        </w:rPr>
      </w:pPr>
    </w:p>
    <w:p w:rsidR="008A4DD4" w:rsidRPr="00531BD3" w:rsidRDefault="008A4DD4" w:rsidP="008A4DD4">
      <w:pPr>
        <w:pStyle w:val="Ruller41"/>
        <w:rPr>
          <w:rtl/>
        </w:rPr>
      </w:pPr>
      <w:r w:rsidRPr="00531BD3">
        <w:rPr>
          <w:rtl/>
        </w:rPr>
        <w:tab/>
      </w:r>
      <w:r w:rsidRPr="00531BD3">
        <w:rPr>
          <w:rFonts w:hint="cs"/>
          <w:rtl/>
        </w:rPr>
        <w:t>על כך עוד אוסיף כי בית המשפט המחוזי גם קבע כי לא מתקיים במקרה זה יסוד נפשי של מטרה מיוחדת להטעות משקיע סביר. עם זאת, גם קביעה מעין זו הכרוכה בבחינת מודעות המשיבים, היא באופן מובהק שאלה שיכולה להיבחן רק לאחר בירור ראייתי.</w:t>
      </w:r>
    </w:p>
    <w:p w:rsidR="008A4DD4" w:rsidRPr="00531BD3" w:rsidRDefault="008A4DD4" w:rsidP="008A4DD4">
      <w:pPr>
        <w:pStyle w:val="Ruller41"/>
        <w:rPr>
          <w:rtl/>
        </w:rPr>
      </w:pPr>
    </w:p>
    <w:p w:rsidR="008A4DD4" w:rsidRPr="00531BD3" w:rsidRDefault="008A4DD4" w:rsidP="008A4DD4">
      <w:pPr>
        <w:pStyle w:val="Ruller41"/>
        <w:rPr>
          <w:rtl/>
        </w:rPr>
      </w:pPr>
      <w:r w:rsidRPr="00531BD3">
        <w:rPr>
          <w:rtl/>
        </w:rPr>
        <w:tab/>
      </w:r>
      <w:r w:rsidRPr="00531BD3">
        <w:rPr>
          <w:rFonts w:hint="cs"/>
          <w:rtl/>
        </w:rPr>
        <w:t>כמו כן, כאמור לעיל, לדעתי אין מקום לתת משקל בבחינת היקף חובת הדיווח והפרת חובה זו, לנייר העמדה שפורסם על ידי הרשות לניירות ערך. בית המשפט ביקש ללמוד מכך שקודם למועד פרסום נייר העמדה בשנת 2020 גם הרשות לניירות ערך לא סברה כי יש לדווח על ענין זה, ולכל הפחות שהייתה עמימות בקשר לכך. אולם כאמור לעיל, אינני מוצא להשליך מפרסום נייר העמדה על הדין שחל בעניינם של המשיבים.</w:t>
      </w:r>
    </w:p>
    <w:p w:rsidR="008A4DD4" w:rsidRPr="00531BD3" w:rsidRDefault="008A4DD4" w:rsidP="008A4DD4">
      <w:pPr>
        <w:pStyle w:val="Ruller41"/>
        <w:rPr>
          <w:rtl/>
        </w:rPr>
      </w:pPr>
    </w:p>
    <w:p w:rsidR="008A4DD4" w:rsidRPr="00531BD3" w:rsidRDefault="008A4DD4" w:rsidP="008A4DD4">
      <w:pPr>
        <w:pStyle w:val="Ruller4"/>
        <w:rPr>
          <w:rtl/>
        </w:rPr>
      </w:pPr>
      <w:r w:rsidRPr="00531BD3">
        <w:rPr>
          <w:rFonts w:hint="cs"/>
          <w:rtl/>
        </w:rPr>
        <w:t xml:space="preserve">בעניין זה עוד אציין כי אין ממש בטענת משיב 2, על פיה אין מקום להטיל אחריות על כתפיו בגין דיווח מטעם החברה, בנסיבות שבהן הוא הוגדר מראש כבעל עניין אישי בעסקאות ואף בעסקת בזק-יס ניהל משא ומתן מול החברה מטעם הצד השני לעסקה. ראשית ייאמר שהוראת סעיף 53(א)(4) לחוק ניירות ערך אינה מגבילה את סוג האנשים שיכולים להיחשב ל"מי שגרם" להפרת חובת דיווח (וראו בהקשר זה: </w:t>
      </w:r>
      <w:r w:rsidRPr="00531BD3">
        <w:rPr>
          <w:rFonts w:hint="eastAsia"/>
          <w:rtl/>
        </w:rPr>
        <w:t>ע</w:t>
      </w:r>
      <w:r w:rsidRPr="00531BD3">
        <w:rPr>
          <w:rFonts w:hint="cs"/>
          <w:rtl/>
        </w:rPr>
        <w:t>"</w:t>
      </w:r>
      <w:r w:rsidRPr="00531BD3">
        <w:rPr>
          <w:rFonts w:hint="eastAsia"/>
          <w:rtl/>
        </w:rPr>
        <w:t>פ</w:t>
      </w:r>
      <w:r w:rsidRPr="00531BD3">
        <w:rPr>
          <w:rtl/>
        </w:rPr>
        <w:t xml:space="preserve"> 5307/09</w:t>
      </w:r>
      <w:r w:rsidRPr="00531BD3">
        <w:rPr>
          <w:rFonts w:hint="cs"/>
          <w:rtl/>
        </w:rPr>
        <w:t xml:space="preserve"> </w:t>
      </w:r>
      <w:r w:rsidRPr="00531BD3">
        <w:rPr>
          <w:rFonts w:ascii="Century" w:hAnsi="Century" w:cs="Miriam" w:hint="eastAsia"/>
          <w:b/>
          <w:spacing w:val="0"/>
          <w:sz w:val="22"/>
          <w:szCs w:val="24"/>
          <w:rtl/>
        </w:rPr>
        <w:t>דיוויס</w:t>
      </w:r>
      <w:r w:rsidRPr="00531BD3">
        <w:rPr>
          <w:rFonts w:ascii="Century" w:hAnsi="Century" w:cs="Miriam"/>
          <w:b/>
          <w:spacing w:val="0"/>
          <w:sz w:val="22"/>
          <w:szCs w:val="24"/>
          <w:rtl/>
        </w:rPr>
        <w:t xml:space="preserve"> </w:t>
      </w:r>
      <w:r w:rsidRPr="00531BD3">
        <w:rPr>
          <w:rFonts w:ascii="Century" w:hAnsi="Century" w:cs="Miriam" w:hint="eastAsia"/>
          <w:b/>
          <w:spacing w:val="0"/>
          <w:sz w:val="22"/>
          <w:szCs w:val="24"/>
          <w:rtl/>
        </w:rPr>
        <w:t>נ</w:t>
      </w:r>
      <w:r w:rsidRPr="00531BD3">
        <w:rPr>
          <w:rFonts w:ascii="Century" w:hAnsi="Century" w:cs="Miriam"/>
          <w:b/>
          <w:spacing w:val="0"/>
          <w:sz w:val="22"/>
          <w:szCs w:val="24"/>
          <w:rtl/>
        </w:rPr>
        <w:t xml:space="preserve">' </w:t>
      </w:r>
      <w:r w:rsidRPr="00531BD3">
        <w:rPr>
          <w:rFonts w:ascii="Century" w:hAnsi="Century" w:cs="Miriam" w:hint="eastAsia"/>
          <w:b/>
          <w:spacing w:val="0"/>
          <w:sz w:val="22"/>
          <w:szCs w:val="24"/>
          <w:rtl/>
        </w:rPr>
        <w:t>מדינת</w:t>
      </w:r>
      <w:r w:rsidRPr="00531BD3">
        <w:rPr>
          <w:rFonts w:ascii="Century" w:hAnsi="Century" w:cs="Miriam"/>
          <w:b/>
          <w:spacing w:val="0"/>
          <w:sz w:val="22"/>
          <w:szCs w:val="24"/>
          <w:rtl/>
        </w:rPr>
        <w:t xml:space="preserve"> </w:t>
      </w:r>
      <w:r w:rsidRPr="00531BD3">
        <w:rPr>
          <w:rFonts w:ascii="Century" w:hAnsi="Century" w:cs="Miriam" w:hint="eastAsia"/>
          <w:b/>
          <w:spacing w:val="0"/>
          <w:sz w:val="22"/>
          <w:szCs w:val="24"/>
          <w:rtl/>
        </w:rPr>
        <w:t>ישראל</w:t>
      </w:r>
      <w:r w:rsidRPr="00531BD3">
        <w:rPr>
          <w:rFonts w:hint="cs"/>
          <w:rtl/>
        </w:rPr>
        <w:t xml:space="preserve">, פסקה 92 (3.6.2010)). שנית, העלאת הטענה כי אין להטיל עליו אחריות בגין פעולות שביצעה החברה עקב הטעיה מצדו, למן הרגע שבו הוא הוגדר כבעל עניין אישי בעסקאות, אינה ממן העניין. ודאי לא שעה שעל פי עובדות כתב האישום מדובר בחתירה תחת החברה והמנגנונים שהיא עצמה קבעה לצורך ההתמודדות עם אותו עניין אישי, כאשר המשיב גרם לפי הטענה לחברה להפרת חובות הדיווח בכך שהסתיר את הדרך שבה פעל במחשכים תחת המנגנונים שקבעה החברה לנטרול ניגוד העניינים בו היה מצוי. אם בכלל, העובדה שאין חולק כי משיב 2 ייצג </w:t>
      </w:r>
      <w:r w:rsidRPr="00531BD3">
        <w:rPr>
          <w:rFonts w:ascii="Century" w:hAnsi="Century" w:cs="Miriam" w:hint="cs"/>
          <w:b/>
          <w:spacing w:val="0"/>
          <w:sz w:val="22"/>
          <w:szCs w:val="24"/>
          <w:rtl/>
        </w:rPr>
        <w:t>באופן גלוי</w:t>
      </w:r>
      <w:r w:rsidRPr="00531BD3">
        <w:rPr>
          <w:rFonts w:hint="cs"/>
          <w:rtl/>
        </w:rPr>
        <w:t xml:space="preserve"> במשא ומתן את חברת יס שעמדה בצד השני של העסקה, לא רק שאין בכוחה כדי לטשטש את האחריות המוטלת עליו כלפי בזק, אלא שהיא אף מאירה באור חמור יותר את המעשים המפורטים בכתב האישום. שכן מדובר בנסיבה המוסיפה נדבך נוסף למצג על פיו המשא ומתן נוהל בהפרדה ברורה של בעלי העניין מבזק. </w:t>
      </w:r>
    </w:p>
    <w:p w:rsidR="008A4DD4" w:rsidRPr="00531BD3" w:rsidRDefault="008A4DD4" w:rsidP="008A4DD4">
      <w:pPr>
        <w:pStyle w:val="Ruller41"/>
        <w:rPr>
          <w:b/>
          <w:bCs/>
          <w:u w:val="single"/>
          <w:rtl/>
        </w:rPr>
      </w:pPr>
    </w:p>
    <w:p w:rsidR="008A4DD4" w:rsidRPr="00531BD3" w:rsidRDefault="008A4DD4" w:rsidP="008A4DD4">
      <w:pPr>
        <w:pStyle w:val="Ruller41"/>
        <w:rPr>
          <w:rFonts w:ascii="Century" w:hAnsi="Century" w:cs="Miriam"/>
          <w:b/>
          <w:spacing w:val="0"/>
          <w:szCs w:val="24"/>
          <w:rtl/>
        </w:rPr>
      </w:pPr>
      <w:r w:rsidRPr="00531BD3">
        <w:rPr>
          <w:rFonts w:ascii="Century" w:hAnsi="Century" w:cs="Miriam" w:hint="cs"/>
          <w:b/>
          <w:spacing w:val="0"/>
          <w:szCs w:val="24"/>
          <w:rtl/>
        </w:rPr>
        <w:t>סיכום</w:t>
      </w:r>
    </w:p>
    <w:p w:rsidR="008A4DD4" w:rsidRPr="00531BD3" w:rsidRDefault="008A4DD4" w:rsidP="008A4DD4">
      <w:pPr>
        <w:pStyle w:val="Ruller4"/>
        <w:rPr>
          <w:rtl/>
        </w:rPr>
      </w:pPr>
      <w:r w:rsidRPr="00531BD3">
        <w:rPr>
          <w:rFonts w:hint="cs"/>
          <w:rtl/>
        </w:rPr>
        <w:t xml:space="preserve">לסיכום, הדברים הם כך: </w:t>
      </w:r>
    </w:p>
    <w:p w:rsidR="008A4DD4" w:rsidRPr="00531BD3" w:rsidRDefault="008A4DD4" w:rsidP="008A4DD4">
      <w:pPr>
        <w:pStyle w:val="Ruller41"/>
        <w:rPr>
          <w:rtl/>
        </w:rPr>
      </w:pPr>
    </w:p>
    <w:p w:rsidR="008A4DD4" w:rsidRDefault="008A4DD4" w:rsidP="008A4DD4">
      <w:pPr>
        <w:pStyle w:val="Ruller41"/>
        <w:rPr>
          <w:rFonts w:ascii="Century" w:hAnsi="Century"/>
          <w:rtl/>
        </w:rPr>
      </w:pPr>
      <w:r w:rsidRPr="00531BD3">
        <w:rPr>
          <w:rtl/>
        </w:rPr>
        <w:lastRenderedPageBreak/>
        <w:tab/>
      </w:r>
      <w:r w:rsidRPr="00531BD3">
        <w:rPr>
          <w:rFonts w:hint="cs"/>
          <w:rtl/>
        </w:rPr>
        <w:t xml:space="preserve">(א) נקודת המוצא </w:t>
      </w:r>
      <w:r w:rsidRPr="00531BD3">
        <w:rPr>
          <w:rFonts w:ascii="Century" w:hAnsi="Century" w:hint="cs"/>
          <w:rtl/>
        </w:rPr>
        <w:t xml:space="preserve">היא כי קבלת טענה מקדמית לפי סעיף 149(4) </w:t>
      </w:r>
      <w:proofErr w:type="spellStart"/>
      <w:r w:rsidRPr="00531BD3">
        <w:rPr>
          <w:rFonts w:ascii="Century" w:hAnsi="Century" w:hint="cs"/>
          <w:rtl/>
        </w:rPr>
        <w:t>לחסד"פ</w:t>
      </w:r>
      <w:proofErr w:type="spellEnd"/>
      <w:r w:rsidRPr="00531BD3">
        <w:rPr>
          <w:rFonts w:ascii="Century" w:hAnsi="Century" w:hint="cs"/>
          <w:rtl/>
        </w:rPr>
        <w:t xml:space="preserve"> צריכה להיעשות רק </w:t>
      </w:r>
      <w:r w:rsidRPr="00531BD3">
        <w:rPr>
          <w:rFonts w:ascii="Century" w:hAnsi="Century" w:hint="eastAsia"/>
          <w:rtl/>
        </w:rPr>
        <w:t>במקרה</w:t>
      </w:r>
      <w:r w:rsidRPr="00531BD3">
        <w:rPr>
          <w:rFonts w:ascii="Century" w:hAnsi="Century"/>
          <w:rtl/>
        </w:rPr>
        <w:t xml:space="preserve"> </w:t>
      </w:r>
      <w:r w:rsidRPr="00531BD3">
        <w:rPr>
          <w:rFonts w:ascii="Century" w:hAnsi="Century" w:hint="eastAsia"/>
          <w:rtl/>
        </w:rPr>
        <w:t>ברור</w:t>
      </w:r>
      <w:r w:rsidRPr="00531BD3">
        <w:rPr>
          <w:rFonts w:ascii="Century" w:hAnsi="Century"/>
          <w:rtl/>
        </w:rPr>
        <w:t xml:space="preserve"> </w:t>
      </w:r>
      <w:r w:rsidRPr="00531BD3">
        <w:rPr>
          <w:rFonts w:ascii="Century" w:hAnsi="Century" w:hint="eastAsia"/>
          <w:rtl/>
        </w:rPr>
        <w:t>ומובהק</w:t>
      </w:r>
      <w:r w:rsidRPr="00531BD3">
        <w:rPr>
          <w:rFonts w:ascii="Century" w:hAnsi="Century"/>
          <w:rtl/>
        </w:rPr>
        <w:t xml:space="preserve"> </w:t>
      </w:r>
      <w:r w:rsidRPr="00531BD3">
        <w:rPr>
          <w:rFonts w:ascii="Century" w:hAnsi="Century" w:hint="eastAsia"/>
          <w:rtl/>
        </w:rPr>
        <w:t>בו</w:t>
      </w:r>
      <w:r w:rsidRPr="00531BD3">
        <w:rPr>
          <w:rFonts w:ascii="Century" w:hAnsi="Century"/>
          <w:rtl/>
        </w:rPr>
        <w:t xml:space="preserve"> </w:t>
      </w:r>
      <w:r w:rsidRPr="00531BD3">
        <w:rPr>
          <w:rFonts w:ascii="Century" w:hAnsi="Century" w:hint="eastAsia"/>
          <w:rtl/>
        </w:rPr>
        <w:t>אין</w:t>
      </w:r>
      <w:r w:rsidRPr="00531BD3">
        <w:rPr>
          <w:rFonts w:ascii="Century" w:hAnsi="Century"/>
          <w:rtl/>
        </w:rPr>
        <w:t xml:space="preserve"> </w:t>
      </w:r>
      <w:r w:rsidRPr="00531BD3">
        <w:rPr>
          <w:rFonts w:ascii="Century" w:hAnsi="Century" w:hint="eastAsia"/>
          <w:rtl/>
        </w:rPr>
        <w:t>היתכנות</w:t>
      </w:r>
      <w:r w:rsidRPr="00531BD3">
        <w:rPr>
          <w:rFonts w:ascii="Century" w:hAnsi="Century"/>
          <w:rtl/>
        </w:rPr>
        <w:t xml:space="preserve"> </w:t>
      </w:r>
      <w:r w:rsidRPr="00531BD3">
        <w:rPr>
          <w:rFonts w:ascii="Century" w:hAnsi="Century" w:hint="cs"/>
          <w:rtl/>
        </w:rPr>
        <w:t xml:space="preserve">להרשעת </w:t>
      </w:r>
      <w:r w:rsidRPr="00531BD3">
        <w:rPr>
          <w:rFonts w:ascii="Century" w:hAnsi="Century" w:hint="eastAsia"/>
          <w:rtl/>
        </w:rPr>
        <w:t>הנאשם</w:t>
      </w:r>
      <w:r w:rsidRPr="00531BD3">
        <w:rPr>
          <w:rFonts w:ascii="Century" w:hAnsi="Century"/>
          <w:rtl/>
        </w:rPr>
        <w:t xml:space="preserve"> </w:t>
      </w:r>
      <w:r w:rsidRPr="00531BD3">
        <w:rPr>
          <w:rFonts w:ascii="Century" w:hAnsi="Century" w:hint="eastAsia"/>
          <w:rtl/>
        </w:rPr>
        <w:t>בעבירה</w:t>
      </w:r>
      <w:r w:rsidRPr="00531BD3">
        <w:rPr>
          <w:rFonts w:ascii="Century" w:hAnsi="Century"/>
          <w:rtl/>
        </w:rPr>
        <w:t xml:space="preserve"> </w:t>
      </w:r>
      <w:r w:rsidRPr="00531BD3">
        <w:rPr>
          <w:rFonts w:ascii="Century" w:hAnsi="Century" w:hint="eastAsia"/>
          <w:rtl/>
        </w:rPr>
        <w:t>המיוחסת</w:t>
      </w:r>
      <w:r w:rsidRPr="00531BD3">
        <w:rPr>
          <w:rFonts w:ascii="Century" w:hAnsi="Century"/>
          <w:rtl/>
        </w:rPr>
        <w:t xml:space="preserve"> </w:t>
      </w:r>
      <w:r w:rsidRPr="00531BD3">
        <w:rPr>
          <w:rFonts w:ascii="Century" w:hAnsi="Century" w:hint="eastAsia"/>
          <w:rtl/>
        </w:rPr>
        <w:t>לו</w:t>
      </w:r>
      <w:r w:rsidRPr="00531BD3">
        <w:rPr>
          <w:rFonts w:ascii="Century" w:hAnsi="Century" w:hint="cs"/>
          <w:rtl/>
        </w:rPr>
        <w:t>. בענייננו, אין מדובר במצב שבו ניתן לומר באופן מובהק, ללא בירור ראייתי, כי גם אם יודו המשיבים בעובדות כתב האישום, לא יהיה בסיס להרשעתם בעבירות המיוחסות להם.</w:t>
      </w:r>
    </w:p>
    <w:p w:rsidR="006548E1" w:rsidRPr="00531BD3" w:rsidRDefault="006548E1" w:rsidP="006548E1">
      <w:pPr>
        <w:pStyle w:val="Ruller4"/>
        <w:numPr>
          <w:ilvl w:val="0"/>
          <w:numId w:val="0"/>
        </w:numPr>
        <w:rPr>
          <w:rFonts w:ascii="Century" w:hAnsi="Century"/>
          <w:rtl/>
        </w:rPr>
      </w:pPr>
    </w:p>
    <w:p w:rsidR="008A4DD4" w:rsidRPr="00531BD3" w:rsidRDefault="008A4DD4" w:rsidP="008A4DD4">
      <w:pPr>
        <w:pStyle w:val="Ruller41"/>
        <w:rPr>
          <w:rFonts w:ascii="Century" w:hAnsi="Century"/>
          <w:rtl/>
        </w:rPr>
      </w:pPr>
      <w:r w:rsidRPr="00531BD3">
        <w:rPr>
          <w:rFonts w:ascii="Century" w:hAnsi="Century"/>
          <w:rtl/>
        </w:rPr>
        <w:tab/>
      </w:r>
      <w:r w:rsidRPr="00531BD3">
        <w:rPr>
          <w:rFonts w:ascii="Century" w:hAnsi="Century" w:hint="cs"/>
          <w:rtl/>
        </w:rPr>
        <w:t xml:space="preserve">(ב) השאלה אם </w:t>
      </w:r>
      <w:r w:rsidRPr="00531BD3">
        <w:rPr>
          <w:rFonts w:hint="cs"/>
          <w:rtl/>
        </w:rPr>
        <w:t>במקרה זה הופר מצג של סודיות ביחס לדיוני הוועדה</w:t>
      </w:r>
      <w:r w:rsidRPr="00531BD3">
        <w:rPr>
          <w:rFonts w:ascii="Century" w:hAnsi="Century" w:hint="cs"/>
          <w:rtl/>
        </w:rPr>
        <w:t xml:space="preserve">, בהתחשב בין היתר באופייה ותכליתה של הוועדה ובנסיבות המקרה הקונקרטי, היא שאלה שהתשובה לה מורכבת מהיבטים נורמטיביים ועובדתיים. בהינתן העובדה שהקמת ועדה מיוחדת נועדה להתמודד עם ניגוד העניינים הטמון בעסקה עם בעל שליטה ובעלי עניין, על רקע המנגנונים הקבועים בדין האזרחי ביחס לעסקאות כאלו </w:t>
      </w:r>
      <w:r w:rsidRPr="00531BD3">
        <w:rPr>
          <w:rFonts w:ascii="Century" w:hAnsi="Century" w:hint="eastAsia"/>
          <w:rtl/>
        </w:rPr>
        <w:t>ובנוסף</w:t>
      </w:r>
      <w:r w:rsidRPr="00531BD3">
        <w:rPr>
          <w:rFonts w:ascii="Century" w:hAnsi="Century"/>
          <w:rtl/>
        </w:rPr>
        <w:t xml:space="preserve"> </w:t>
      </w:r>
      <w:r w:rsidRPr="00531BD3">
        <w:rPr>
          <w:rFonts w:ascii="Century" w:hAnsi="Century" w:hint="cs"/>
          <w:rtl/>
        </w:rPr>
        <w:t>ל</w:t>
      </w:r>
      <w:r w:rsidRPr="00531BD3">
        <w:rPr>
          <w:rFonts w:ascii="Century" w:hAnsi="Century" w:hint="eastAsia"/>
          <w:rtl/>
        </w:rPr>
        <w:t>הם</w:t>
      </w:r>
      <w:r w:rsidRPr="00531BD3">
        <w:rPr>
          <w:rFonts w:ascii="Century" w:hAnsi="Century" w:hint="cs"/>
          <w:rtl/>
        </w:rPr>
        <w:t>, יש בסיס לסברה כי חלק ממאפייניה הגרעיניים של ועדה מיוחדת כזו כולל אלמנט של הפרדה ברורה מבעלי העניין. עם זאת, השאלה אם אכן כך היה במקרה הנתון, היינו האם הוכחה חובת סודיות שיש בכוחה לבסס "מרמה" בדין הפלילי, היא שאלה שהתשובה לה צריכה להינתן בהתחשב בתמונה העובדתית המלאה שתתברר, ובכלל זה בהתייחס למצגים שהוצגו ביחס לעבודת הוועדה ולהתנהלות בעלי העניין אליהם נמסר המידע.</w:t>
      </w:r>
    </w:p>
    <w:p w:rsidR="008A4DD4" w:rsidRPr="00531BD3" w:rsidRDefault="008A4DD4" w:rsidP="006548E1">
      <w:pPr>
        <w:pStyle w:val="Ruller4"/>
        <w:numPr>
          <w:ilvl w:val="0"/>
          <w:numId w:val="0"/>
        </w:numPr>
        <w:rPr>
          <w:rFonts w:ascii="Century" w:hAnsi="Century"/>
          <w:rtl/>
        </w:rPr>
      </w:pPr>
    </w:p>
    <w:p w:rsidR="008A4DD4" w:rsidRPr="00531BD3" w:rsidRDefault="008A4DD4" w:rsidP="008A4DD4">
      <w:pPr>
        <w:pStyle w:val="Ruller41"/>
        <w:rPr>
          <w:rtl/>
        </w:rPr>
      </w:pPr>
      <w:r w:rsidRPr="00531BD3">
        <w:rPr>
          <w:rtl/>
        </w:rPr>
        <w:tab/>
      </w:r>
      <w:r w:rsidRPr="00531BD3">
        <w:rPr>
          <w:rFonts w:hint="cs"/>
          <w:rtl/>
        </w:rPr>
        <w:t xml:space="preserve">(ג) כתב האישום אכן מפרט </w:t>
      </w:r>
      <w:r w:rsidRPr="00531BD3">
        <w:rPr>
          <w:rFonts w:ascii="Century" w:hAnsi="Century" w:hint="cs"/>
          <w:rtl/>
        </w:rPr>
        <w:t xml:space="preserve">עובדות רבות אשר אם יוכחו יש בכוחן להביא למסקנה כי במקרה זה הופר על ידי המשיבים </w:t>
      </w:r>
      <w:r w:rsidRPr="00531BD3">
        <w:rPr>
          <w:rFonts w:hint="cs"/>
          <w:rtl/>
        </w:rPr>
        <w:t>מצג ברור של סודיות</w:t>
      </w:r>
      <w:r w:rsidRPr="00531BD3">
        <w:rPr>
          <w:rFonts w:ascii="Century" w:hAnsi="Century" w:hint="cs"/>
          <w:rtl/>
        </w:rPr>
        <w:t xml:space="preserve">. שכן, על פי עובדות כתב האישום </w:t>
      </w:r>
      <w:r w:rsidRPr="00531BD3">
        <w:rPr>
          <w:rFonts w:hint="cs"/>
          <w:rtl/>
        </w:rPr>
        <w:t>מדובר בהעברת מידע חסוי מתוך ועדה שהוקמה על רקע העניין האישי שהיה לבעלי העניין בעסקאות, חרף מצגים שונים מהם משתמע כי המידע לא היה אמור להגיע לידיהם, תוך הסתרת העברת המידע לידיהם וכאשר מדובר במידע שהיה בו כדי להקנות יתרון תחרותי לגורמים המצויים בצד השני למשא ומתן.</w:t>
      </w:r>
    </w:p>
    <w:p w:rsidR="008A4DD4" w:rsidRPr="00531BD3" w:rsidRDefault="008A4DD4" w:rsidP="008A4DD4">
      <w:pPr>
        <w:pStyle w:val="Ruller41"/>
        <w:rPr>
          <w:rtl/>
        </w:rPr>
      </w:pPr>
    </w:p>
    <w:p w:rsidR="008A4DD4" w:rsidRPr="00531BD3" w:rsidRDefault="008A4DD4" w:rsidP="008A4DD4">
      <w:pPr>
        <w:pStyle w:val="Ruller41"/>
        <w:rPr>
          <w:rtl/>
        </w:rPr>
      </w:pPr>
      <w:r w:rsidRPr="00531BD3">
        <w:rPr>
          <w:rtl/>
        </w:rPr>
        <w:tab/>
      </w:r>
      <w:r w:rsidRPr="00531BD3">
        <w:rPr>
          <w:rFonts w:hint="cs"/>
          <w:rtl/>
        </w:rPr>
        <w:t xml:space="preserve">(ד) בהינתן האמור, על פני הדברים, מדובר פעילות אשר עשויה לעלות לכדי עבירה של מרמה והפרת אמונים בתאגיד. זאת בהתייחס לרקע הרלוונטי להקמת הוועדה שהוא ניגוד העניינים המובנה שבו נתונים בעלי העניין, ולעובדות המפורטות בכתב האישום (שפורטו בסעיף (ג) לעיל), כמו גם לאמור בכתב האישום כי נעשה שימוש מעשי במסמכים לצורך השפעה על המשא ומתן שהתנהל באותה עת. זאת גם בהתחשב בכך שבכתב האישום פורט כי מעשי המשיבים פגעו באינטרסים של בזק בשתי העסקאות, ובכך שבנסיבות המקרה לא ניתן לומר כבר בשלב זה </w:t>
      </w:r>
      <w:r w:rsidRPr="00531BD3">
        <w:rPr>
          <w:rFonts w:ascii="Century" w:hAnsi="Century" w:hint="cs"/>
          <w:rtl/>
        </w:rPr>
        <w:t>כי לא מתקיים פן מחמיר נוסף.</w:t>
      </w:r>
      <w:r w:rsidRPr="00531BD3">
        <w:rPr>
          <w:rFonts w:hint="cs"/>
          <w:rtl/>
        </w:rPr>
        <w:t xml:space="preserve"> </w:t>
      </w:r>
    </w:p>
    <w:p w:rsidR="008A4DD4" w:rsidRPr="00531BD3" w:rsidRDefault="008A4DD4" w:rsidP="006548E1">
      <w:pPr>
        <w:pStyle w:val="Ruller4"/>
        <w:numPr>
          <w:ilvl w:val="0"/>
          <w:numId w:val="0"/>
        </w:numPr>
        <w:rPr>
          <w:rtl/>
        </w:rPr>
      </w:pPr>
    </w:p>
    <w:p w:rsidR="008A4DD4" w:rsidRPr="00531BD3" w:rsidRDefault="008A4DD4" w:rsidP="008A4DD4">
      <w:pPr>
        <w:pStyle w:val="Ruller41"/>
        <w:rPr>
          <w:rtl/>
        </w:rPr>
      </w:pPr>
      <w:r w:rsidRPr="00531BD3">
        <w:rPr>
          <w:rtl/>
        </w:rPr>
        <w:tab/>
      </w:r>
      <w:r w:rsidRPr="00531BD3">
        <w:rPr>
          <w:rFonts w:hint="cs"/>
          <w:rtl/>
        </w:rPr>
        <w:t xml:space="preserve">(ה) בהתייחס לעבירת קבלת דבר במרמה, בטרם התבררה התמונה העובדתית המלאה לא ניתן לומר כי לא התקבל במרמה ה"דבר" המפורט בכתב האישום: מידע </w:t>
      </w:r>
      <w:r w:rsidRPr="00531BD3">
        <w:rPr>
          <w:rFonts w:hint="cs"/>
          <w:rtl/>
        </w:rPr>
        <w:lastRenderedPageBreak/>
        <w:t xml:space="preserve">שהיה גלום בו יתרון תחרותי; והנחת דעתם של מוסדות בזק (וגם הנחת דעתה של </w:t>
      </w:r>
      <w:proofErr w:type="spellStart"/>
      <w:r w:rsidRPr="00531BD3">
        <w:rPr>
          <w:rFonts w:hint="cs"/>
          <w:rtl/>
        </w:rPr>
        <w:t>אנטרופי</w:t>
      </w:r>
      <w:proofErr w:type="spellEnd"/>
      <w:r w:rsidRPr="00531BD3">
        <w:rPr>
          <w:rFonts w:hint="cs"/>
          <w:rtl/>
        </w:rPr>
        <w:t xml:space="preserve"> באישום השלישי) באשר לאופן עבודת הוועדה והליך ניהול המשא ומתן.</w:t>
      </w:r>
      <w:r w:rsidRPr="00531BD3">
        <w:rPr>
          <w:rFonts w:ascii="Century" w:hAnsi="Century" w:hint="cs"/>
          <w:rtl/>
        </w:rPr>
        <w:t xml:space="preserve"> </w:t>
      </w:r>
    </w:p>
    <w:p w:rsidR="008A4DD4" w:rsidRPr="00531BD3" w:rsidRDefault="008A4DD4" w:rsidP="008A4DD4">
      <w:pPr>
        <w:pStyle w:val="Ruller41"/>
        <w:rPr>
          <w:rtl/>
        </w:rPr>
      </w:pPr>
    </w:p>
    <w:p w:rsidR="008A4DD4" w:rsidRPr="00531BD3" w:rsidRDefault="008A4DD4" w:rsidP="008A4DD4">
      <w:pPr>
        <w:pStyle w:val="Ruller41"/>
        <w:rPr>
          <w:rFonts w:ascii="Century" w:hAnsi="Century"/>
          <w:rtl/>
        </w:rPr>
      </w:pPr>
      <w:r w:rsidRPr="00531BD3">
        <w:rPr>
          <w:rtl/>
        </w:rPr>
        <w:tab/>
      </w:r>
      <w:r w:rsidRPr="00531BD3">
        <w:rPr>
          <w:rFonts w:hint="cs"/>
          <w:rtl/>
        </w:rPr>
        <w:t xml:space="preserve">(ו) באשר לעבירות הדיווח, מכתב האישום עולה כי תיאור תהליכי אישור העסקה בדוחות העסקה נועד לשקף מצג מסוים לגבי אופן קבלת ההחלטה שהובאה לאישור האסיפה הכללית, כאשר הודגשו האמצעים שננקטו על מנת </w:t>
      </w:r>
      <w:r w:rsidRPr="00531BD3">
        <w:rPr>
          <w:rFonts w:ascii="Century" w:hAnsi="Century" w:hint="cs"/>
          <w:rtl/>
        </w:rPr>
        <w:t>להפריד</w:t>
      </w:r>
      <w:r w:rsidRPr="00531BD3">
        <w:rPr>
          <w:rFonts w:hint="cs"/>
          <w:rtl/>
        </w:rPr>
        <w:t xml:space="preserve"> את בעלי העניין מהליך קבלת ההחלטות ולדמות </w:t>
      </w:r>
      <w:r w:rsidRPr="00531BD3">
        <w:rPr>
          <w:rFonts w:hint="eastAsia"/>
          <w:rtl/>
        </w:rPr>
        <w:t>הליך של</w:t>
      </w:r>
      <w:r w:rsidRPr="00531BD3">
        <w:rPr>
          <w:rFonts w:hint="cs"/>
          <w:rtl/>
        </w:rPr>
        <w:t xml:space="preserve"> משא ומתן בתנאי שוק. הקביעה כי מדובר בהיבט שאינו מעניינם של בעלי המניות אינה עולה בקנה אחד עם הפירוט האמור לגבי אותם צעדים שננקטו להפרדת בעלי העניין.</w:t>
      </w:r>
    </w:p>
    <w:p w:rsidR="008A4DD4" w:rsidRPr="00531BD3" w:rsidRDefault="008A4DD4" w:rsidP="008A4DD4">
      <w:pPr>
        <w:pStyle w:val="Ruller41"/>
        <w:rPr>
          <w:rtl/>
        </w:rPr>
      </w:pPr>
    </w:p>
    <w:p w:rsidR="008A4DD4" w:rsidRDefault="008A4DD4" w:rsidP="008A4DD4">
      <w:pPr>
        <w:pStyle w:val="Ruller41"/>
        <w:rPr>
          <w:rtl/>
        </w:rPr>
      </w:pPr>
      <w:r w:rsidRPr="00531BD3">
        <w:rPr>
          <w:rtl/>
        </w:rPr>
        <w:tab/>
      </w:r>
      <w:r w:rsidRPr="00531BD3">
        <w:rPr>
          <w:rFonts w:hint="cs"/>
          <w:rtl/>
        </w:rPr>
        <w:t xml:space="preserve">סופו של יום, אם תשמע דעתי, ערעור המדינה לגבי המשיבים כולם, למעט משיבה 7 (יורוקום אחזקות), יתקבל בזאת, והתיק יוחזר לבית המשפט להמשך בירור ראייתי. </w:t>
      </w:r>
    </w:p>
    <w:p w:rsidR="00F66BE7" w:rsidRDefault="00F66BE7" w:rsidP="008A4DD4">
      <w:pPr>
        <w:pStyle w:val="Ruller41"/>
        <w:rPr>
          <w:rtl/>
        </w:rPr>
      </w:pPr>
    </w:p>
    <w:p w:rsidR="00A11452" w:rsidRDefault="00A11452" w:rsidP="008A4DD4">
      <w:pPr>
        <w:pStyle w:val="Ruller41"/>
        <w:rPr>
          <w:rtl/>
        </w:rPr>
      </w:pPr>
    </w:p>
    <w:p w:rsidR="00B74F9F" w:rsidRDefault="00B74F9F" w:rsidP="008A4DD4">
      <w:pPr>
        <w:pStyle w:val="Ruller41"/>
        <w:rPr>
          <w:rtl/>
        </w:rPr>
      </w:pPr>
    </w:p>
    <w:tbl>
      <w:tblPr>
        <w:bidiVisual/>
        <w:tblW w:w="0" w:type="auto"/>
        <w:tblLook w:val="01E0" w:firstRow="1" w:lastRow="1" w:firstColumn="1" w:lastColumn="1" w:noHBand="0" w:noVBand="0"/>
      </w:tblPr>
      <w:tblGrid>
        <w:gridCol w:w="2769"/>
        <w:gridCol w:w="2769"/>
        <w:gridCol w:w="2774"/>
      </w:tblGrid>
      <w:tr w:rsidR="009D74B6" w:rsidTr="001E0E67">
        <w:tc>
          <w:tcPr>
            <w:tcW w:w="2769" w:type="dxa"/>
            <w:shd w:val="clear" w:color="auto" w:fill="auto"/>
          </w:tcPr>
          <w:p w:rsidR="009D74B6" w:rsidRDefault="009D74B6" w:rsidP="001E0E67">
            <w:pPr>
              <w:pStyle w:val="Ruller41"/>
              <w:tabs>
                <w:tab w:val="clear" w:pos="800"/>
                <w:tab w:val="left" w:pos="3209"/>
                <w:tab w:val="left" w:pos="6753"/>
              </w:tabs>
              <w:jc w:val="left"/>
              <w:rPr>
                <w:rFonts w:ascii="Times New Roman" w:hAnsi="Times New Roman"/>
                <w:bCs/>
                <w:rtl/>
              </w:rPr>
            </w:pPr>
          </w:p>
        </w:tc>
        <w:tc>
          <w:tcPr>
            <w:tcW w:w="2769" w:type="dxa"/>
            <w:shd w:val="clear" w:color="auto" w:fill="auto"/>
          </w:tcPr>
          <w:p w:rsidR="009D74B6" w:rsidRDefault="009D74B6" w:rsidP="001E0E67">
            <w:pPr>
              <w:pStyle w:val="Ruller41"/>
              <w:tabs>
                <w:tab w:val="clear" w:pos="800"/>
                <w:tab w:val="left" w:pos="3209"/>
                <w:tab w:val="left" w:pos="6753"/>
              </w:tabs>
              <w:jc w:val="center"/>
              <w:rPr>
                <w:rFonts w:ascii="Times New Roman" w:hAnsi="Times New Roman"/>
                <w:bCs/>
                <w:rtl/>
              </w:rPr>
            </w:pPr>
          </w:p>
        </w:tc>
        <w:tc>
          <w:tcPr>
            <w:tcW w:w="2774" w:type="dxa"/>
            <w:shd w:val="clear" w:color="auto" w:fill="auto"/>
          </w:tcPr>
          <w:p w:rsidR="009D74B6" w:rsidRPr="00A60BAF" w:rsidRDefault="009D74B6" w:rsidP="00F66BE7">
            <w:pPr>
              <w:pStyle w:val="Ruller41"/>
              <w:tabs>
                <w:tab w:val="clear" w:pos="800"/>
                <w:tab w:val="left" w:pos="3209"/>
                <w:tab w:val="left" w:pos="6753"/>
              </w:tabs>
              <w:jc w:val="right"/>
              <w:rPr>
                <w:rFonts w:ascii="Times New Roman" w:hAnsi="Times New Roman"/>
                <w:b/>
                <w:rtl/>
              </w:rPr>
            </w:pPr>
            <w:r>
              <w:rPr>
                <w:rFonts w:ascii="Times New Roman" w:hAnsi="Times New Roman" w:hint="cs"/>
                <w:b/>
                <w:rtl/>
              </w:rPr>
              <w:t xml:space="preserve">        </w:t>
            </w:r>
            <w:r w:rsidRPr="00A60BAF">
              <w:rPr>
                <w:rFonts w:ascii="Times New Roman" w:hAnsi="Times New Roman" w:hint="cs"/>
                <w:b/>
                <w:rtl/>
              </w:rPr>
              <w:t>ש ו פ ט</w:t>
            </w:r>
          </w:p>
        </w:tc>
      </w:tr>
    </w:tbl>
    <w:p w:rsidR="008E6FBF" w:rsidRDefault="008E6FBF" w:rsidP="008A4DD4">
      <w:pPr>
        <w:pStyle w:val="Ruller41"/>
        <w:rPr>
          <w:rtl/>
        </w:rPr>
      </w:pPr>
    </w:p>
    <w:p w:rsidR="00B74F9F" w:rsidRDefault="00B74F9F" w:rsidP="008A4DD4">
      <w:pPr>
        <w:pStyle w:val="Ruller41"/>
        <w:rPr>
          <w:rtl/>
        </w:rPr>
      </w:pPr>
    </w:p>
    <w:p w:rsidR="00B74F9F" w:rsidRDefault="00B74F9F" w:rsidP="008A4DD4">
      <w:pPr>
        <w:pStyle w:val="Ruller41"/>
        <w:rPr>
          <w:rtl/>
        </w:rPr>
      </w:pPr>
    </w:p>
    <w:p w:rsidR="00BC37DA" w:rsidRPr="00503A3E" w:rsidRDefault="00BC37DA" w:rsidP="00BC37DA">
      <w:pPr>
        <w:pStyle w:val="BODYVERDICT"/>
        <w:rPr>
          <w:rFonts w:cs="Miriam"/>
          <w:sz w:val="24"/>
          <w:szCs w:val="24"/>
          <w:u w:val="single"/>
          <w:rtl/>
        </w:rPr>
      </w:pPr>
      <w:r>
        <w:rPr>
          <w:rFonts w:cs="Miriam" w:hint="cs"/>
          <w:sz w:val="24"/>
          <w:szCs w:val="24"/>
          <w:u w:val="single"/>
          <w:rtl/>
        </w:rPr>
        <w:t>השופט י' עמית</w:t>
      </w:r>
      <w:r>
        <w:rPr>
          <w:rFonts w:cs="Miriam"/>
          <w:sz w:val="24"/>
          <w:szCs w:val="24"/>
          <w:u w:val="single"/>
          <w:rtl/>
        </w:rPr>
        <w:t>:</w:t>
      </w:r>
    </w:p>
    <w:p w:rsidR="00814BEB" w:rsidRPr="004E1C05" w:rsidRDefault="00814BEB" w:rsidP="00814BEB">
      <w:pPr>
        <w:pStyle w:val="Ruller41"/>
        <w:rPr>
          <w:rFonts w:ascii="Century" w:hAnsi="Century"/>
          <w:rtl/>
        </w:rPr>
      </w:pPr>
    </w:p>
    <w:p w:rsidR="00814BEB" w:rsidRPr="004E1C05" w:rsidRDefault="00814BEB" w:rsidP="00814BEB">
      <w:pPr>
        <w:tabs>
          <w:tab w:val="left" w:pos="800"/>
        </w:tabs>
        <w:spacing w:line="360" w:lineRule="auto"/>
        <w:jc w:val="both"/>
        <w:rPr>
          <w:rFonts w:ascii="Arial TUR" w:hAnsi="Arial TUR" w:cs="FrankRuehl"/>
          <w:spacing w:val="10"/>
          <w:sz w:val="22"/>
          <w:szCs w:val="28"/>
          <w:rtl/>
        </w:rPr>
      </w:pPr>
      <w:r>
        <w:rPr>
          <w:rFonts w:ascii="Arial TUR" w:hAnsi="Arial TUR" w:cs="FrankRuehl"/>
          <w:spacing w:val="10"/>
          <w:sz w:val="22"/>
          <w:szCs w:val="28"/>
          <w:rtl/>
        </w:rPr>
        <w:tab/>
      </w:r>
      <w:r w:rsidRPr="004E1C05">
        <w:rPr>
          <w:rFonts w:ascii="Arial TUR" w:hAnsi="Arial TUR" w:cs="FrankRuehl" w:hint="cs"/>
          <w:spacing w:val="10"/>
          <w:sz w:val="22"/>
          <w:szCs w:val="28"/>
          <w:rtl/>
        </w:rPr>
        <w:t xml:space="preserve">אני מסכים. </w:t>
      </w:r>
    </w:p>
    <w:p w:rsidR="00814BEB" w:rsidRPr="004E1C05" w:rsidRDefault="00814BEB" w:rsidP="00814BEB">
      <w:pPr>
        <w:tabs>
          <w:tab w:val="left" w:pos="800"/>
        </w:tabs>
        <w:spacing w:line="360" w:lineRule="auto"/>
        <w:jc w:val="both"/>
        <w:rPr>
          <w:rFonts w:ascii="Arial TUR" w:hAnsi="Arial TUR" w:cs="FrankRuehl"/>
          <w:spacing w:val="10"/>
          <w:sz w:val="22"/>
          <w:szCs w:val="28"/>
          <w:rtl/>
        </w:rPr>
      </w:pPr>
    </w:p>
    <w:p w:rsidR="00814BEB" w:rsidRPr="004E1C05" w:rsidRDefault="00814BEB" w:rsidP="00814BEB">
      <w:pPr>
        <w:tabs>
          <w:tab w:val="left" w:pos="800"/>
        </w:tabs>
        <w:spacing w:line="360" w:lineRule="auto"/>
        <w:jc w:val="both"/>
        <w:rPr>
          <w:rFonts w:ascii="Arial TUR" w:hAnsi="Arial TUR" w:cs="FrankRuehl"/>
          <w:spacing w:val="10"/>
          <w:sz w:val="22"/>
          <w:szCs w:val="28"/>
          <w:rtl/>
        </w:rPr>
      </w:pPr>
      <w:r w:rsidRPr="004E1C05">
        <w:rPr>
          <w:rFonts w:ascii="Arial TUR" w:hAnsi="Arial TUR" w:cs="FrankRuehl" w:hint="cs"/>
          <w:spacing w:val="10"/>
          <w:sz w:val="22"/>
          <w:szCs w:val="28"/>
          <w:rtl/>
        </w:rPr>
        <w:t>1.</w:t>
      </w:r>
      <w:r w:rsidRPr="004E1C05">
        <w:rPr>
          <w:rFonts w:ascii="Arial TUR" w:hAnsi="Arial TUR" w:cs="FrankRuehl" w:hint="cs"/>
          <w:spacing w:val="10"/>
          <w:sz w:val="22"/>
          <w:szCs w:val="28"/>
          <w:rtl/>
        </w:rPr>
        <w:tab/>
        <w:t xml:space="preserve">שנינו ולמדנו מדבריו של השופט </w:t>
      </w:r>
      <w:r w:rsidRPr="004E1C05">
        <w:rPr>
          <w:rFonts w:ascii="Century" w:hAnsi="Century" w:cs="Miriam" w:hint="cs"/>
          <w:b/>
          <w:sz w:val="22"/>
          <w:rtl/>
        </w:rPr>
        <w:t>ח' כהן</w:t>
      </w:r>
      <w:r w:rsidRPr="004E1C05">
        <w:rPr>
          <w:rFonts w:ascii="Arial TUR" w:hAnsi="Arial TUR" w:cs="FrankRuehl" w:hint="cs"/>
          <w:spacing w:val="10"/>
          <w:sz w:val="22"/>
          <w:szCs w:val="28"/>
          <w:rtl/>
        </w:rPr>
        <w:t xml:space="preserve">: </w:t>
      </w:r>
    </w:p>
    <w:p w:rsidR="00814BEB" w:rsidRPr="004E1C05" w:rsidRDefault="00814BEB" w:rsidP="00814BEB">
      <w:pPr>
        <w:ind w:left="1644" w:right="1276"/>
        <w:jc w:val="both"/>
        <w:rPr>
          <w:rFonts w:ascii="Arial TUR" w:hAnsi="Arial TUR" w:cs="FrankRuehl"/>
          <w:spacing w:val="10"/>
          <w:sz w:val="22"/>
          <w:szCs w:val="28"/>
          <w:rtl/>
        </w:rPr>
      </w:pPr>
    </w:p>
    <w:p w:rsidR="00814BEB" w:rsidRPr="004E1C05" w:rsidRDefault="00814BEB" w:rsidP="00814BEB">
      <w:pPr>
        <w:ind w:left="1644" w:right="1276"/>
        <w:jc w:val="both"/>
        <w:rPr>
          <w:rFonts w:ascii="FrankRuehl" w:hAnsi="FrankRuehl" w:cs="FrankRuehl"/>
          <w:spacing w:val="10"/>
          <w:sz w:val="28"/>
          <w:szCs w:val="28"/>
          <w:rtl/>
        </w:rPr>
      </w:pPr>
      <w:r w:rsidRPr="004E1C05">
        <w:rPr>
          <w:rFonts w:ascii="Arial TUR" w:hAnsi="Arial TUR" w:cs="FrankRuehl" w:hint="cs"/>
          <w:spacing w:val="10"/>
          <w:sz w:val="22"/>
          <w:szCs w:val="28"/>
          <w:rtl/>
        </w:rPr>
        <w:t>"</w:t>
      </w:r>
      <w:r w:rsidRPr="004E1C05">
        <w:rPr>
          <w:rFonts w:ascii="FrankRuehl" w:hAnsi="FrankRuehl" w:cs="FrankRuehl"/>
          <w:spacing w:val="10"/>
          <w:sz w:val="28"/>
          <w:szCs w:val="28"/>
          <w:rtl/>
        </w:rPr>
        <w:t xml:space="preserve">כלל גדול הוא בדיני העונשין: </w:t>
      </w:r>
      <w:r w:rsidRPr="004E1C05">
        <w:rPr>
          <w:rFonts w:ascii="FrankRuehl" w:hAnsi="FrankRuehl" w:cs="FrankRuehl" w:hint="cs"/>
          <w:spacing w:val="10"/>
          <w:sz w:val="28"/>
          <w:szCs w:val="28"/>
          <w:rtl/>
        </w:rPr>
        <w:t>'</w:t>
      </w:r>
      <w:r w:rsidRPr="004E1C05">
        <w:rPr>
          <w:rFonts w:ascii="FrankRuehl" w:hAnsi="FrankRuehl" w:cs="FrankRuehl"/>
          <w:spacing w:val="10"/>
          <w:sz w:val="28"/>
          <w:szCs w:val="28"/>
          <w:rtl/>
        </w:rPr>
        <w:t>אין עונשין מן הדין</w:t>
      </w:r>
      <w:r w:rsidRPr="004E1C05">
        <w:rPr>
          <w:rFonts w:ascii="FrankRuehl" w:hAnsi="FrankRuehl" w:cs="FrankRuehl" w:hint="cs"/>
          <w:spacing w:val="10"/>
          <w:sz w:val="28"/>
          <w:szCs w:val="28"/>
          <w:rtl/>
        </w:rPr>
        <w:t xml:space="preserve">' </w:t>
      </w:r>
      <w:r w:rsidRPr="004E1C05">
        <w:rPr>
          <w:rFonts w:ascii="FrankRuehl" w:hAnsi="FrankRuehl" w:cs="FrankRuehl" w:hint="cs"/>
          <w:b/>
          <w:bCs/>
          <w:spacing w:val="10"/>
          <w:sz w:val="28"/>
          <w:szCs w:val="28"/>
          <w:rtl/>
        </w:rPr>
        <w:t>(</w:t>
      </w:r>
      <w:r w:rsidRPr="004E1C05">
        <w:rPr>
          <w:rFonts w:ascii="FrankRuehl" w:hAnsi="FrankRuehl" w:cs="FrankRuehl" w:hint="cs"/>
          <w:spacing w:val="10"/>
          <w:sz w:val="28"/>
          <w:szCs w:val="28"/>
          <w:rtl/>
        </w:rPr>
        <w:t xml:space="preserve">סנהדרין נד, </w:t>
      </w:r>
      <w:proofErr w:type="spellStart"/>
      <w:r w:rsidRPr="004E1C05">
        <w:rPr>
          <w:rFonts w:ascii="FrankRuehl" w:hAnsi="FrankRuehl" w:cs="FrankRuehl" w:hint="cs"/>
          <w:spacing w:val="10"/>
          <w:sz w:val="28"/>
          <w:szCs w:val="28"/>
          <w:rtl/>
        </w:rPr>
        <w:t>עא</w:t>
      </w:r>
      <w:proofErr w:type="spellEnd"/>
      <w:r w:rsidRPr="004E1C05">
        <w:rPr>
          <w:rFonts w:ascii="FrankRuehl" w:hAnsi="FrankRuehl" w:cs="FrankRuehl" w:hint="cs"/>
          <w:spacing w:val="10"/>
          <w:sz w:val="28"/>
          <w:szCs w:val="28"/>
          <w:rtl/>
        </w:rPr>
        <w:t>. ועוד)</w:t>
      </w:r>
      <w:r w:rsidRPr="004E1C05">
        <w:rPr>
          <w:rFonts w:ascii="FrankRuehl" w:hAnsi="FrankRuehl" w:cs="FrankRuehl"/>
          <w:spacing w:val="10"/>
          <w:sz w:val="28"/>
          <w:szCs w:val="28"/>
          <w:rtl/>
        </w:rPr>
        <w:t xml:space="preserve"> - לא מקל וחומר, ולא מגזירה שווה, ולא מכל היקש או אנאלוגיה, אלא מן החוק הכתוב והחקוק בלבד</w:t>
      </w:r>
      <w:r w:rsidRPr="004E1C05">
        <w:rPr>
          <w:rFonts w:ascii="FrankRuehl" w:hAnsi="FrankRuehl" w:cs="FrankRuehl" w:hint="cs"/>
          <w:spacing w:val="10"/>
          <w:sz w:val="28"/>
          <w:szCs w:val="28"/>
          <w:rtl/>
        </w:rPr>
        <w:t xml:space="preserve">" (ע"פ 205/73 </w:t>
      </w:r>
      <w:r w:rsidRPr="004E1C05">
        <w:rPr>
          <w:rFonts w:ascii="Century" w:hAnsi="Century" w:cs="Miriam" w:hint="cs"/>
          <w:b/>
          <w:sz w:val="22"/>
          <w:rtl/>
        </w:rPr>
        <w:t>סטיבן איבן רוס נ' מדינת ישראל</w:t>
      </w:r>
      <w:r w:rsidRPr="004E1C05">
        <w:rPr>
          <w:rFonts w:ascii="FrankRuehl" w:hAnsi="FrankRuehl" w:cs="FrankRuehl" w:hint="cs"/>
          <w:spacing w:val="10"/>
          <w:sz w:val="28"/>
          <w:szCs w:val="28"/>
          <w:rtl/>
        </w:rPr>
        <w:t xml:space="preserve">, פ"ד </w:t>
      </w:r>
      <w:proofErr w:type="spellStart"/>
      <w:r w:rsidRPr="004E1C05">
        <w:rPr>
          <w:rFonts w:ascii="FrankRuehl" w:hAnsi="FrankRuehl" w:cs="FrankRuehl" w:hint="cs"/>
          <w:spacing w:val="10"/>
          <w:sz w:val="28"/>
          <w:szCs w:val="28"/>
          <w:rtl/>
        </w:rPr>
        <w:t>כז</w:t>
      </w:r>
      <w:proofErr w:type="spellEnd"/>
      <w:r w:rsidRPr="004E1C05">
        <w:rPr>
          <w:rFonts w:ascii="FrankRuehl" w:hAnsi="FrankRuehl" w:cs="FrankRuehl" w:hint="cs"/>
          <w:spacing w:val="10"/>
          <w:sz w:val="28"/>
          <w:szCs w:val="28"/>
          <w:rtl/>
        </w:rPr>
        <w:t xml:space="preserve">(2) 365, 371 (1973)). </w:t>
      </w:r>
    </w:p>
    <w:p w:rsidR="00814BEB" w:rsidRPr="004E1C05" w:rsidRDefault="00814BEB" w:rsidP="00814BEB">
      <w:pPr>
        <w:tabs>
          <w:tab w:val="left" w:pos="800"/>
        </w:tabs>
        <w:spacing w:line="360" w:lineRule="auto"/>
        <w:jc w:val="both"/>
        <w:rPr>
          <w:rFonts w:ascii="Arial TUR" w:hAnsi="Arial TUR" w:cs="FrankRuehl"/>
          <w:spacing w:val="10"/>
          <w:sz w:val="22"/>
          <w:szCs w:val="28"/>
          <w:rtl/>
        </w:rPr>
      </w:pPr>
    </w:p>
    <w:p w:rsidR="00814BEB" w:rsidRPr="004E1C05" w:rsidRDefault="00814BEB" w:rsidP="00814BEB">
      <w:pPr>
        <w:tabs>
          <w:tab w:val="left" w:pos="800"/>
        </w:tabs>
        <w:spacing w:line="360" w:lineRule="auto"/>
        <w:jc w:val="both"/>
        <w:rPr>
          <w:rFonts w:ascii="FrankRuehl" w:hAnsi="FrankRuehl" w:cs="FrankRuehl"/>
          <w:spacing w:val="10"/>
          <w:sz w:val="28"/>
          <w:szCs w:val="28"/>
          <w:rtl/>
        </w:rPr>
      </w:pPr>
      <w:r w:rsidRPr="004E1C05">
        <w:rPr>
          <w:rFonts w:ascii="FrankRuehl" w:hAnsi="FrankRuehl" w:cs="FrankRuehl"/>
          <w:spacing w:val="10"/>
          <w:sz w:val="28"/>
          <w:szCs w:val="28"/>
          <w:rtl/>
        </w:rPr>
        <w:tab/>
      </w:r>
      <w:r w:rsidRPr="004E1C05">
        <w:rPr>
          <w:rFonts w:ascii="FrankRuehl" w:hAnsi="FrankRuehl" w:cs="FrankRuehl" w:hint="cs"/>
          <w:spacing w:val="10"/>
          <w:sz w:val="28"/>
          <w:szCs w:val="28"/>
          <w:rtl/>
        </w:rPr>
        <w:t xml:space="preserve">דברים אלה מבטאים את עקרון החוקיות שבא לידי ביטוי בפרשנות הדווקנית בפלילים. מכאן טענת המשיבים, שמצאה לה אוזן קשבת בבית משפט קמא, כי לא ניתן לייחס למערערים עבירה שעניינה הפרת חובת סודיות, שעה שלא נקבעה בדין הוראה כזו. </w:t>
      </w:r>
    </w:p>
    <w:p w:rsidR="00814BEB" w:rsidRPr="004E1C05" w:rsidRDefault="00814BEB" w:rsidP="00814BEB">
      <w:pPr>
        <w:tabs>
          <w:tab w:val="left" w:pos="800"/>
        </w:tabs>
        <w:spacing w:line="360" w:lineRule="auto"/>
        <w:jc w:val="both"/>
        <w:rPr>
          <w:rFonts w:ascii="FrankRuehl" w:hAnsi="FrankRuehl" w:cs="FrankRuehl"/>
          <w:spacing w:val="10"/>
          <w:sz w:val="28"/>
          <w:szCs w:val="28"/>
          <w:rtl/>
        </w:rPr>
      </w:pPr>
    </w:p>
    <w:p w:rsidR="00814BEB" w:rsidRPr="004E1C05" w:rsidRDefault="00814BEB" w:rsidP="00814BEB">
      <w:pPr>
        <w:tabs>
          <w:tab w:val="left" w:pos="800"/>
        </w:tabs>
        <w:spacing w:line="360" w:lineRule="auto"/>
        <w:jc w:val="both"/>
        <w:rPr>
          <w:rFonts w:ascii="FrankRuehl" w:hAnsi="FrankRuehl" w:cs="FrankRuehl"/>
          <w:spacing w:val="10"/>
          <w:sz w:val="28"/>
          <w:szCs w:val="28"/>
          <w:rtl/>
        </w:rPr>
      </w:pPr>
      <w:r w:rsidRPr="004E1C05">
        <w:rPr>
          <w:rFonts w:ascii="FrankRuehl" w:hAnsi="FrankRuehl" w:cs="FrankRuehl" w:hint="cs"/>
          <w:spacing w:val="10"/>
          <w:sz w:val="28"/>
          <w:szCs w:val="28"/>
          <w:rtl/>
        </w:rPr>
        <w:tab/>
        <w:t xml:space="preserve">חברי, השופט </w:t>
      </w:r>
      <w:r w:rsidRPr="004E1C05">
        <w:rPr>
          <w:rFonts w:ascii="Century" w:hAnsi="Century" w:cs="Miriam" w:hint="cs"/>
          <w:b/>
          <w:sz w:val="22"/>
          <w:rtl/>
        </w:rPr>
        <w:t>ד' מינץ</w:t>
      </w:r>
      <w:r w:rsidRPr="004E1C05">
        <w:rPr>
          <w:rFonts w:ascii="FrankRuehl" w:hAnsi="FrankRuehl" w:cs="FrankRuehl" w:hint="cs"/>
          <w:spacing w:val="10"/>
          <w:sz w:val="28"/>
          <w:szCs w:val="28"/>
          <w:rtl/>
        </w:rPr>
        <w:t xml:space="preserve">, היטיב להסביר מדוע אין לקבל טענה זו, בוודאי לא בשלב זה של הדיון ואוסיף מילים מספר משל עצמי בנושא זה. </w:t>
      </w:r>
    </w:p>
    <w:p w:rsidR="00814BEB" w:rsidRPr="004E1C05" w:rsidRDefault="00814BEB" w:rsidP="00814BEB">
      <w:pPr>
        <w:tabs>
          <w:tab w:val="left" w:pos="800"/>
        </w:tabs>
        <w:spacing w:line="360" w:lineRule="auto"/>
        <w:jc w:val="both"/>
        <w:rPr>
          <w:rFonts w:ascii="FrankRuehl" w:hAnsi="FrankRuehl" w:cs="FrankRuehl"/>
          <w:spacing w:val="10"/>
          <w:sz w:val="28"/>
          <w:szCs w:val="28"/>
          <w:rtl/>
        </w:rPr>
      </w:pPr>
    </w:p>
    <w:p w:rsidR="00814BEB" w:rsidRPr="004E1C05" w:rsidRDefault="00814BEB" w:rsidP="00814BEB">
      <w:pPr>
        <w:tabs>
          <w:tab w:val="left" w:pos="800"/>
        </w:tabs>
        <w:spacing w:line="360" w:lineRule="auto"/>
        <w:jc w:val="both"/>
        <w:rPr>
          <w:rFonts w:ascii="FrankRuehl" w:hAnsi="FrankRuehl" w:cs="FrankRuehl"/>
          <w:spacing w:val="10"/>
          <w:sz w:val="28"/>
          <w:szCs w:val="28"/>
          <w:rtl/>
        </w:rPr>
      </w:pPr>
      <w:r w:rsidRPr="004E1C05">
        <w:rPr>
          <w:rFonts w:ascii="FrankRuehl" w:hAnsi="FrankRuehl" w:cs="FrankRuehl" w:hint="cs"/>
          <w:spacing w:val="10"/>
          <w:sz w:val="28"/>
          <w:szCs w:val="28"/>
          <w:rtl/>
        </w:rPr>
        <w:t>2.</w:t>
      </w:r>
      <w:r w:rsidRPr="004E1C05">
        <w:rPr>
          <w:rFonts w:ascii="FrankRuehl" w:hAnsi="FrankRuehl" w:cs="FrankRuehl" w:hint="cs"/>
          <w:spacing w:val="10"/>
          <w:sz w:val="28"/>
          <w:szCs w:val="28"/>
          <w:rtl/>
        </w:rPr>
        <w:tab/>
        <w:t xml:space="preserve">מכירים אנו </w:t>
      </w:r>
      <w:r w:rsidRPr="004E1C05">
        <w:rPr>
          <w:rFonts w:ascii="Century" w:hAnsi="Century" w:cs="Miriam" w:hint="cs"/>
          <w:b/>
          <w:sz w:val="22"/>
          <w:rtl/>
        </w:rPr>
        <w:t>חסיונות</w:t>
      </w:r>
      <w:r w:rsidRPr="004E1C05">
        <w:rPr>
          <w:rFonts w:ascii="FrankRuehl" w:hAnsi="FrankRuehl" w:cs="FrankRuehl" w:hint="cs"/>
          <w:spacing w:val="10"/>
          <w:sz w:val="28"/>
          <w:szCs w:val="28"/>
          <w:rtl/>
        </w:rPr>
        <w:t xml:space="preserve"> יציר הפסיקה. איננו מכירים הוראת </w:t>
      </w:r>
      <w:r w:rsidRPr="004E1C05">
        <w:rPr>
          <w:rFonts w:ascii="Century" w:hAnsi="Century" w:cs="Miriam" w:hint="cs"/>
          <w:b/>
          <w:sz w:val="22"/>
          <w:rtl/>
        </w:rPr>
        <w:t>אי קבילות</w:t>
      </w:r>
      <w:r w:rsidRPr="004E1C05">
        <w:rPr>
          <w:rFonts w:ascii="FrankRuehl" w:hAnsi="FrankRuehl" w:cs="FrankRuehl" w:hint="cs"/>
          <w:spacing w:val="10"/>
          <w:sz w:val="28"/>
          <w:szCs w:val="28"/>
          <w:rtl/>
        </w:rPr>
        <w:t xml:space="preserve"> יציר הפסיקה (יצחק עמית </w:t>
      </w:r>
      <w:r w:rsidRPr="004E1C05">
        <w:rPr>
          <w:rFonts w:ascii="Century" w:hAnsi="Century" w:cs="Miriam" w:hint="eastAsia"/>
          <w:b/>
          <w:sz w:val="22"/>
          <w:rtl/>
        </w:rPr>
        <w:t>חסיונות</w:t>
      </w:r>
      <w:r w:rsidRPr="004E1C05">
        <w:rPr>
          <w:rFonts w:ascii="Century" w:hAnsi="Century" w:cs="Miriam"/>
          <w:b/>
          <w:sz w:val="22"/>
          <w:rtl/>
        </w:rPr>
        <w:t xml:space="preserve"> </w:t>
      </w:r>
      <w:r w:rsidRPr="004E1C05">
        <w:rPr>
          <w:rFonts w:ascii="Century" w:hAnsi="Century" w:cs="Miriam" w:hint="eastAsia"/>
          <w:b/>
          <w:sz w:val="22"/>
          <w:rtl/>
        </w:rPr>
        <w:t>ואינטרסים</w:t>
      </w:r>
      <w:r w:rsidRPr="004E1C05">
        <w:rPr>
          <w:rFonts w:ascii="Century" w:hAnsi="Century" w:cs="Miriam"/>
          <w:b/>
          <w:sz w:val="22"/>
          <w:rtl/>
        </w:rPr>
        <w:t xml:space="preserve"> </w:t>
      </w:r>
      <w:r w:rsidRPr="004E1C05">
        <w:rPr>
          <w:rFonts w:ascii="Century" w:hAnsi="Century" w:cs="Miriam" w:hint="eastAsia"/>
          <w:b/>
          <w:sz w:val="22"/>
          <w:rtl/>
        </w:rPr>
        <w:t>מוגנים</w:t>
      </w:r>
      <w:r w:rsidRPr="004E1C05">
        <w:rPr>
          <w:rFonts w:ascii="Century" w:hAnsi="Century" w:cs="Miriam" w:hint="cs"/>
          <w:b/>
          <w:sz w:val="22"/>
          <w:rtl/>
        </w:rPr>
        <w:t xml:space="preserve"> </w:t>
      </w:r>
      <w:r w:rsidRPr="004E1C05">
        <w:rPr>
          <w:rFonts w:ascii="Century" w:hAnsi="Century" w:cs="Miriam"/>
          <w:b/>
          <w:sz w:val="22"/>
          <w:rtl/>
        </w:rPr>
        <w:t>–</w:t>
      </w:r>
      <w:r w:rsidRPr="004E1C05">
        <w:rPr>
          <w:rFonts w:ascii="Century" w:hAnsi="Century" w:cs="Miriam" w:hint="cs"/>
          <w:b/>
          <w:sz w:val="22"/>
          <w:rtl/>
        </w:rPr>
        <w:t xml:space="preserve"> </w:t>
      </w:r>
      <w:r w:rsidRPr="004E1C05">
        <w:rPr>
          <w:rFonts w:ascii="Century" w:hAnsi="Century" w:cs="Miriam" w:hint="eastAsia"/>
          <w:b/>
          <w:sz w:val="22"/>
          <w:rtl/>
        </w:rPr>
        <w:t>הליכי</w:t>
      </w:r>
      <w:r w:rsidRPr="004E1C05">
        <w:rPr>
          <w:rFonts w:ascii="Century" w:hAnsi="Century" w:cs="Miriam"/>
          <w:b/>
          <w:sz w:val="22"/>
          <w:rtl/>
        </w:rPr>
        <w:t xml:space="preserve"> </w:t>
      </w:r>
      <w:r w:rsidRPr="004E1C05">
        <w:rPr>
          <w:rFonts w:ascii="Century" w:hAnsi="Century" w:cs="Miriam" w:hint="eastAsia"/>
          <w:b/>
          <w:sz w:val="22"/>
          <w:rtl/>
        </w:rPr>
        <w:t>גילוי</w:t>
      </w:r>
      <w:r w:rsidRPr="004E1C05">
        <w:rPr>
          <w:rFonts w:ascii="Century" w:hAnsi="Century" w:cs="Miriam"/>
          <w:b/>
          <w:sz w:val="22"/>
          <w:rtl/>
        </w:rPr>
        <w:t xml:space="preserve"> </w:t>
      </w:r>
      <w:r w:rsidRPr="004E1C05">
        <w:rPr>
          <w:rFonts w:ascii="Century" w:hAnsi="Century" w:cs="Miriam" w:hint="eastAsia"/>
          <w:b/>
          <w:sz w:val="22"/>
          <w:rtl/>
        </w:rPr>
        <w:t>ועיון</w:t>
      </w:r>
      <w:r w:rsidRPr="004E1C05">
        <w:rPr>
          <w:rFonts w:ascii="Century" w:hAnsi="Century" w:cs="Miriam"/>
          <w:b/>
          <w:sz w:val="22"/>
          <w:rtl/>
        </w:rPr>
        <w:t xml:space="preserve"> </w:t>
      </w:r>
      <w:r w:rsidRPr="004E1C05">
        <w:rPr>
          <w:rFonts w:ascii="Century" w:hAnsi="Century" w:cs="Miriam" w:hint="eastAsia"/>
          <w:b/>
          <w:sz w:val="22"/>
          <w:rtl/>
        </w:rPr>
        <w:t>בדין</w:t>
      </w:r>
      <w:r w:rsidRPr="004E1C05">
        <w:rPr>
          <w:rFonts w:ascii="Century" w:hAnsi="Century" w:cs="Miriam"/>
          <w:b/>
          <w:sz w:val="22"/>
          <w:rtl/>
        </w:rPr>
        <w:t xml:space="preserve"> </w:t>
      </w:r>
      <w:r w:rsidRPr="004E1C05">
        <w:rPr>
          <w:rFonts w:ascii="Century" w:hAnsi="Century" w:cs="Miriam" w:hint="eastAsia"/>
          <w:b/>
          <w:sz w:val="22"/>
          <w:rtl/>
        </w:rPr>
        <w:t>האזרחי</w:t>
      </w:r>
      <w:r w:rsidRPr="004E1C05">
        <w:rPr>
          <w:rFonts w:ascii="Century" w:hAnsi="Century" w:cs="Miriam"/>
          <w:b/>
          <w:sz w:val="22"/>
          <w:rtl/>
        </w:rPr>
        <w:t xml:space="preserve"> </w:t>
      </w:r>
      <w:r w:rsidRPr="004E1C05">
        <w:rPr>
          <w:rFonts w:ascii="Century" w:hAnsi="Century" w:cs="Miriam" w:hint="eastAsia"/>
          <w:b/>
          <w:sz w:val="22"/>
          <w:rtl/>
        </w:rPr>
        <w:t>והפלילי</w:t>
      </w:r>
      <w:r w:rsidRPr="004E1C05">
        <w:rPr>
          <w:rFonts w:ascii="FrankRuehl" w:hAnsi="FrankRuehl" w:cs="FrankRuehl" w:hint="cs"/>
          <w:spacing w:val="10"/>
          <w:sz w:val="28"/>
          <w:szCs w:val="28"/>
          <w:rtl/>
        </w:rPr>
        <w:t xml:space="preserve"> 413-389 (2021) (להלן: </w:t>
      </w:r>
      <w:r w:rsidRPr="004E1C05">
        <w:rPr>
          <w:rFonts w:ascii="Century" w:hAnsi="Century" w:cs="Miriam" w:hint="cs"/>
          <w:b/>
          <w:sz w:val="22"/>
          <w:rtl/>
        </w:rPr>
        <w:t>עמית</w:t>
      </w:r>
      <w:r w:rsidRPr="004E1C05">
        <w:rPr>
          <w:rFonts w:ascii="FrankRuehl" w:hAnsi="FrankRuehl" w:cs="FrankRuehl" w:hint="cs"/>
          <w:spacing w:val="10"/>
          <w:sz w:val="28"/>
          <w:szCs w:val="28"/>
          <w:rtl/>
        </w:rPr>
        <w:t xml:space="preserve">)). ומה הדין לגבי </w:t>
      </w:r>
      <w:r w:rsidRPr="004E1C05">
        <w:rPr>
          <w:rFonts w:ascii="Century" w:hAnsi="Century" w:cs="Miriam" w:hint="cs"/>
          <w:b/>
          <w:sz w:val="22"/>
          <w:rtl/>
        </w:rPr>
        <w:t>סודיות</w:t>
      </w:r>
      <w:r w:rsidRPr="004E1C05">
        <w:rPr>
          <w:rFonts w:ascii="FrankRuehl" w:hAnsi="FrankRuehl" w:cs="FrankRuehl" w:hint="cs"/>
          <w:spacing w:val="10"/>
          <w:sz w:val="28"/>
          <w:szCs w:val="28"/>
          <w:rtl/>
        </w:rPr>
        <w:t xml:space="preserve">? </w:t>
      </w:r>
    </w:p>
    <w:p w:rsidR="00814BEB" w:rsidRPr="004E1C05" w:rsidRDefault="00814BEB" w:rsidP="00814BEB">
      <w:pPr>
        <w:tabs>
          <w:tab w:val="left" w:pos="800"/>
        </w:tabs>
        <w:spacing w:line="360" w:lineRule="auto"/>
        <w:jc w:val="both"/>
        <w:rPr>
          <w:rFonts w:ascii="FrankRuehl" w:hAnsi="FrankRuehl" w:cs="FrankRuehl"/>
          <w:spacing w:val="10"/>
          <w:sz w:val="28"/>
          <w:szCs w:val="28"/>
          <w:rtl/>
        </w:rPr>
      </w:pPr>
    </w:p>
    <w:p w:rsidR="00814BEB" w:rsidRPr="004E1C05" w:rsidRDefault="00814BEB" w:rsidP="00814BEB">
      <w:pPr>
        <w:tabs>
          <w:tab w:val="left" w:pos="800"/>
        </w:tabs>
        <w:spacing w:line="360" w:lineRule="auto"/>
        <w:jc w:val="both"/>
        <w:rPr>
          <w:rFonts w:ascii="Century" w:hAnsi="Century" w:cs="FrankRuehl"/>
          <w:spacing w:val="10"/>
          <w:sz w:val="22"/>
          <w:szCs w:val="28"/>
          <w:rtl/>
        </w:rPr>
      </w:pPr>
      <w:r w:rsidRPr="004E1C05">
        <w:rPr>
          <w:rFonts w:ascii="FrankRuehl" w:hAnsi="FrankRuehl" w:cs="FrankRuehl"/>
          <w:spacing w:val="10"/>
          <w:sz w:val="28"/>
          <w:szCs w:val="28"/>
          <w:rtl/>
        </w:rPr>
        <w:tab/>
      </w:r>
      <w:r w:rsidRPr="004E1C05">
        <w:rPr>
          <w:rFonts w:ascii="FrankRuehl" w:hAnsi="FrankRuehl" w:cs="FrankRuehl" w:hint="cs"/>
          <w:spacing w:val="10"/>
          <w:sz w:val="28"/>
          <w:szCs w:val="28"/>
          <w:rtl/>
        </w:rPr>
        <w:t>בחקיקה אנו מוצאים עשרות, אם לא מאות, הוראות סודיות. ברם, חובת הסודיות אין מקורה רק בחקיקה והיא נובעת גם מכוח כללי אתיקה או מכוח הסכמה חוזית (</w:t>
      </w:r>
      <w:r w:rsidRPr="004E1C05">
        <w:rPr>
          <w:rFonts w:ascii="Century" w:hAnsi="Century" w:cs="Miriam" w:hint="cs"/>
          <w:b/>
          <w:sz w:val="22"/>
          <w:rtl/>
        </w:rPr>
        <w:t>עמית</w:t>
      </w:r>
      <w:r w:rsidRPr="004E1C05">
        <w:rPr>
          <w:rFonts w:ascii="FrankRuehl" w:hAnsi="FrankRuehl" w:cs="FrankRuehl" w:hint="cs"/>
          <w:spacing w:val="10"/>
          <w:sz w:val="28"/>
          <w:szCs w:val="28"/>
          <w:rtl/>
        </w:rPr>
        <w:t>, עמ' 408). כך, לדוגמה, מכיר המחוקק בסעיף 2(8) לחוק הגנת הפרטיות, התשמ"א-1981, כי פגיעה בפרטיות היא "</w:t>
      </w:r>
      <w:r w:rsidRPr="004E1C05">
        <w:rPr>
          <w:rFonts w:ascii="Century" w:hAnsi="Century" w:cs="FrankRuehl"/>
          <w:spacing w:val="10"/>
          <w:sz w:val="22"/>
          <w:szCs w:val="28"/>
          <w:shd w:val="clear" w:color="auto" w:fill="FFFFFF"/>
          <w:rtl/>
        </w:rPr>
        <w:t xml:space="preserve">הפרה של חובת סודיות לגבי </w:t>
      </w:r>
      <w:proofErr w:type="spellStart"/>
      <w:r w:rsidRPr="004E1C05">
        <w:rPr>
          <w:rFonts w:ascii="Century" w:hAnsi="Century" w:cs="FrankRuehl"/>
          <w:spacing w:val="10"/>
          <w:sz w:val="22"/>
          <w:szCs w:val="28"/>
          <w:shd w:val="clear" w:color="auto" w:fill="FFFFFF"/>
          <w:rtl/>
        </w:rPr>
        <w:t>עניניו</w:t>
      </w:r>
      <w:proofErr w:type="spellEnd"/>
      <w:r w:rsidRPr="004E1C05">
        <w:rPr>
          <w:rFonts w:ascii="Century" w:hAnsi="Century" w:cs="FrankRuehl"/>
          <w:spacing w:val="10"/>
          <w:sz w:val="22"/>
          <w:szCs w:val="28"/>
          <w:shd w:val="clear" w:color="auto" w:fill="FFFFFF"/>
          <w:rtl/>
        </w:rPr>
        <w:t xml:space="preserve"> הפרטיים של אדם, </w:t>
      </w:r>
      <w:r w:rsidRPr="004E1C05">
        <w:rPr>
          <w:rFonts w:ascii="Century" w:hAnsi="Century" w:cs="Miriam"/>
          <w:b/>
          <w:sz w:val="22"/>
          <w:shd w:val="clear" w:color="auto" w:fill="FFFFFF"/>
          <w:rtl/>
        </w:rPr>
        <w:t>שנקבעה בהסכם מפורש או משתמ</w:t>
      </w:r>
      <w:r w:rsidRPr="004E1C05">
        <w:rPr>
          <w:rFonts w:ascii="Century" w:hAnsi="Century" w:cs="Miriam" w:hint="cs"/>
          <w:b/>
          <w:sz w:val="22"/>
          <w:shd w:val="clear" w:color="auto" w:fill="FFFFFF"/>
          <w:rtl/>
        </w:rPr>
        <w:t>ע</w:t>
      </w:r>
      <w:r w:rsidRPr="004E1C05">
        <w:rPr>
          <w:rFonts w:ascii="Century" w:hAnsi="Century" w:cs="FrankRuehl" w:hint="cs"/>
          <w:spacing w:val="10"/>
          <w:sz w:val="22"/>
          <w:szCs w:val="28"/>
          <w:shd w:val="clear" w:color="auto" w:fill="FFFFFF"/>
          <w:rtl/>
        </w:rPr>
        <w:t>". סעיף 496 לחוק העונשין, התשל"ז-1977 שכותרתו "גילוי סוד מקצועי" קובע: "</w:t>
      </w:r>
      <w:r w:rsidRPr="004E1C05">
        <w:rPr>
          <w:rFonts w:ascii="Century" w:hAnsi="Century" w:cs="FrankRuehl"/>
          <w:spacing w:val="10"/>
          <w:sz w:val="22"/>
          <w:szCs w:val="28"/>
          <w:rtl/>
        </w:rPr>
        <w:t>המ</w:t>
      </w:r>
      <w:r w:rsidRPr="004E1C05">
        <w:rPr>
          <w:rFonts w:ascii="Century" w:hAnsi="Century" w:cs="FrankRuehl" w:hint="cs"/>
          <w:spacing w:val="10"/>
          <w:sz w:val="22"/>
          <w:szCs w:val="28"/>
          <w:rtl/>
        </w:rPr>
        <w:t>גל</w:t>
      </w:r>
      <w:r w:rsidRPr="004E1C05">
        <w:rPr>
          <w:rFonts w:ascii="Century" w:hAnsi="Century" w:cs="FrankRuehl"/>
          <w:spacing w:val="10"/>
          <w:sz w:val="22"/>
          <w:szCs w:val="28"/>
          <w:rtl/>
        </w:rPr>
        <w:t xml:space="preserve">ה </w:t>
      </w:r>
      <w:r w:rsidRPr="004E1C05">
        <w:rPr>
          <w:rFonts w:ascii="Century" w:hAnsi="Century" w:cs="FrankRuehl" w:hint="cs"/>
          <w:spacing w:val="10"/>
          <w:sz w:val="22"/>
          <w:szCs w:val="28"/>
          <w:rtl/>
        </w:rPr>
        <w:t>מידע סודי שנמסר לו אגב מקצועו או מלאכתו, שאינו סוד רשמי כמשמעו בסימן ה' לפרק ז', ואינו נדרש לגלותו מכוח הדין, דינו - מא</w:t>
      </w:r>
      <w:r w:rsidRPr="004E1C05">
        <w:rPr>
          <w:rFonts w:ascii="Century" w:hAnsi="Century" w:cs="FrankRuehl"/>
          <w:spacing w:val="10"/>
          <w:sz w:val="22"/>
          <w:szCs w:val="28"/>
          <w:rtl/>
        </w:rPr>
        <w:t>סר</w:t>
      </w:r>
      <w:r w:rsidRPr="004E1C05">
        <w:rPr>
          <w:rFonts w:ascii="Century" w:hAnsi="Century" w:cs="FrankRuehl" w:hint="cs"/>
          <w:spacing w:val="10"/>
          <w:sz w:val="22"/>
          <w:szCs w:val="28"/>
          <w:rtl/>
        </w:rPr>
        <w:t xml:space="preserve"> ששה חדשים".</w:t>
      </w:r>
      <w:r w:rsidRPr="004E1C05">
        <w:rPr>
          <w:rFonts w:cs="Times New Roman" w:hint="cs"/>
          <w:spacing w:val="10"/>
          <w:sz w:val="26"/>
          <w:szCs w:val="26"/>
          <w:rtl/>
        </w:rPr>
        <w:t xml:space="preserve"> </w:t>
      </w:r>
      <w:r w:rsidRPr="004E1C05">
        <w:rPr>
          <w:rFonts w:ascii="Century" w:hAnsi="Century" w:cs="FrankRuehl" w:hint="cs"/>
          <w:spacing w:val="10"/>
          <w:sz w:val="22"/>
          <w:szCs w:val="28"/>
          <w:rtl/>
        </w:rPr>
        <w:t xml:space="preserve">לפנינו דוגמה לחובת סודיות שמקורה בהסכם מפורש או משתמע בגין מידע שנמסר לאדם אגב עבודתו. </w:t>
      </w:r>
    </w:p>
    <w:p w:rsidR="00814BEB" w:rsidRPr="004E1C05" w:rsidRDefault="00814BEB" w:rsidP="00814BEB">
      <w:pPr>
        <w:tabs>
          <w:tab w:val="left" w:pos="800"/>
        </w:tabs>
        <w:spacing w:line="360" w:lineRule="auto"/>
        <w:jc w:val="both"/>
        <w:rPr>
          <w:rFonts w:ascii="Century" w:hAnsi="Century" w:cs="FrankRuehl"/>
          <w:spacing w:val="10"/>
          <w:sz w:val="22"/>
          <w:szCs w:val="28"/>
          <w:rtl/>
        </w:rPr>
      </w:pPr>
    </w:p>
    <w:p w:rsidR="00814BEB" w:rsidRPr="004E1C05" w:rsidRDefault="00814BEB" w:rsidP="00814BEB">
      <w:pPr>
        <w:tabs>
          <w:tab w:val="left" w:pos="800"/>
        </w:tabs>
        <w:spacing w:line="360" w:lineRule="auto"/>
        <w:jc w:val="both"/>
        <w:rPr>
          <w:rFonts w:ascii="FrankRuehl" w:hAnsi="FrankRuehl" w:cs="FrankRuehl"/>
          <w:color w:val="000000"/>
          <w:spacing w:val="10"/>
          <w:sz w:val="22"/>
          <w:szCs w:val="28"/>
          <w:rtl/>
        </w:rPr>
      </w:pPr>
      <w:r w:rsidRPr="004E1C05">
        <w:rPr>
          <w:rFonts w:ascii="Century" w:hAnsi="Century" w:cs="FrankRuehl"/>
          <w:spacing w:val="10"/>
          <w:sz w:val="22"/>
          <w:szCs w:val="28"/>
          <w:rtl/>
        </w:rPr>
        <w:tab/>
      </w:r>
      <w:r w:rsidRPr="004E1C05">
        <w:rPr>
          <w:rFonts w:ascii="Century" w:hAnsi="Century" w:cs="FrankRuehl" w:hint="cs"/>
          <w:spacing w:val="10"/>
          <w:sz w:val="22"/>
          <w:szCs w:val="28"/>
          <w:rtl/>
        </w:rPr>
        <w:t xml:space="preserve">ובכלל, המשפט הפלילי שואב לא אחת את הנורמה שעליה הוא פורס מצודתו מתוך המשפט האזרחי, ומאמץ </w:t>
      </w:r>
      <w:r w:rsidRPr="004E1C05">
        <w:rPr>
          <w:rFonts w:ascii="FrankRuehl" w:hAnsi="FrankRuehl" w:cs="FrankRuehl"/>
          <w:color w:val="000000"/>
          <w:spacing w:val="10"/>
          <w:sz w:val="28"/>
          <w:szCs w:val="28"/>
          <w:rtl/>
        </w:rPr>
        <w:t>חוב</w:t>
      </w:r>
      <w:r w:rsidRPr="004E1C05">
        <w:rPr>
          <w:rFonts w:ascii="FrankRuehl" w:hAnsi="FrankRuehl" w:cs="FrankRuehl" w:hint="cs"/>
          <w:color w:val="000000"/>
          <w:spacing w:val="10"/>
          <w:sz w:val="28"/>
          <w:szCs w:val="28"/>
          <w:rtl/>
        </w:rPr>
        <w:t>ות</w:t>
      </w:r>
      <w:r w:rsidRPr="004E1C05">
        <w:rPr>
          <w:rFonts w:ascii="FrankRuehl" w:hAnsi="FrankRuehl" w:cs="FrankRuehl"/>
          <w:color w:val="000000"/>
          <w:spacing w:val="10"/>
          <w:sz w:val="28"/>
          <w:szCs w:val="28"/>
          <w:rtl/>
        </w:rPr>
        <w:t xml:space="preserve"> </w:t>
      </w:r>
      <w:r w:rsidRPr="004E1C05">
        <w:rPr>
          <w:rFonts w:ascii="FrankRuehl" w:hAnsi="FrankRuehl" w:cs="FrankRuehl" w:hint="cs"/>
          <w:color w:val="000000"/>
          <w:spacing w:val="10"/>
          <w:sz w:val="28"/>
          <w:szCs w:val="28"/>
          <w:rtl/>
        </w:rPr>
        <w:t xml:space="preserve">שמקורן בדין האזרחי </w:t>
      </w:r>
      <w:r w:rsidRPr="004E1C05">
        <w:rPr>
          <w:rFonts w:ascii="Arial TUR" w:hAnsi="Arial TUR" w:cs="FrankRuehl" w:hint="cs"/>
          <w:spacing w:val="10"/>
          <w:sz w:val="22"/>
          <w:szCs w:val="28"/>
          <w:rtl/>
        </w:rPr>
        <w:t xml:space="preserve">(לעניין רשלנות ראו, למשל, </w:t>
      </w:r>
      <w:r w:rsidRPr="004E1C05">
        <w:rPr>
          <w:rFonts w:ascii="Arial TUR" w:hAnsi="Arial TUR" w:cs="FrankRuehl"/>
          <w:spacing w:val="10"/>
          <w:sz w:val="22"/>
          <w:szCs w:val="28"/>
          <w:rtl/>
        </w:rPr>
        <w:t xml:space="preserve">ע"פ 2247/10 </w:t>
      </w:r>
      <w:r w:rsidRPr="004E1C05">
        <w:rPr>
          <w:rFonts w:ascii="Century" w:hAnsi="Century" w:cs="Miriam"/>
          <w:b/>
          <w:sz w:val="22"/>
          <w:rtl/>
        </w:rPr>
        <w:t>ימיני נ' מדינת ישראל</w:t>
      </w:r>
      <w:r w:rsidRPr="004E1C05">
        <w:rPr>
          <w:rFonts w:ascii="Arial TUR" w:hAnsi="Arial TUR" w:cs="FrankRuehl"/>
          <w:spacing w:val="10"/>
          <w:sz w:val="22"/>
          <w:szCs w:val="28"/>
          <w:rtl/>
        </w:rPr>
        <w:t>, סד(2) 66</w:t>
      </w:r>
      <w:r w:rsidRPr="004E1C05">
        <w:rPr>
          <w:rFonts w:ascii="Arial TUR" w:hAnsi="Arial TUR" w:cs="FrankRuehl" w:hint="cs"/>
          <w:spacing w:val="10"/>
          <w:sz w:val="22"/>
          <w:szCs w:val="28"/>
          <w:rtl/>
        </w:rPr>
        <w:t xml:space="preserve">6, פסקאות 52-51 לפסק דיני (2011); </w:t>
      </w:r>
      <w:proofErr w:type="spellStart"/>
      <w:r w:rsidRPr="004E1C05">
        <w:rPr>
          <w:rFonts w:ascii="Arial TUR" w:hAnsi="Arial TUR" w:cs="FrankRuehl" w:hint="eastAsia"/>
          <w:spacing w:val="10"/>
          <w:sz w:val="22"/>
          <w:szCs w:val="28"/>
          <w:rtl/>
        </w:rPr>
        <w:t>רע</w:t>
      </w:r>
      <w:r w:rsidRPr="004E1C05">
        <w:rPr>
          <w:rFonts w:ascii="Arial TUR" w:hAnsi="Arial TUR" w:cs="FrankRuehl"/>
          <w:spacing w:val="10"/>
          <w:sz w:val="22"/>
          <w:szCs w:val="28"/>
          <w:rtl/>
        </w:rPr>
        <w:t>"</w:t>
      </w:r>
      <w:r w:rsidRPr="004E1C05">
        <w:rPr>
          <w:rFonts w:ascii="Arial TUR" w:hAnsi="Arial TUR" w:cs="FrankRuehl" w:hint="eastAsia"/>
          <w:spacing w:val="10"/>
          <w:sz w:val="22"/>
          <w:szCs w:val="28"/>
          <w:rtl/>
        </w:rPr>
        <w:t>פ</w:t>
      </w:r>
      <w:proofErr w:type="spellEnd"/>
      <w:r w:rsidRPr="004E1C05">
        <w:rPr>
          <w:rFonts w:ascii="Arial TUR" w:hAnsi="Arial TUR" w:cs="FrankRuehl"/>
          <w:spacing w:val="10"/>
          <w:sz w:val="22"/>
          <w:szCs w:val="28"/>
          <w:rtl/>
        </w:rPr>
        <w:t xml:space="preserve"> 1007</w:t>
      </w:r>
      <w:r w:rsidRPr="004E1C05">
        <w:rPr>
          <w:rFonts w:ascii="Arial TUR" w:hAnsi="Arial TUR" w:cs="FrankRuehl" w:hint="cs"/>
          <w:spacing w:val="10"/>
          <w:sz w:val="22"/>
          <w:szCs w:val="28"/>
          <w:rtl/>
        </w:rPr>
        <w:t>/</w:t>
      </w:r>
      <w:r w:rsidRPr="004E1C05">
        <w:rPr>
          <w:rFonts w:ascii="Arial TUR" w:hAnsi="Arial TUR" w:cs="FrankRuehl"/>
          <w:spacing w:val="10"/>
          <w:sz w:val="22"/>
          <w:szCs w:val="28"/>
          <w:rtl/>
        </w:rPr>
        <w:t xml:space="preserve">05 </w:t>
      </w:r>
      <w:r w:rsidRPr="004E1C05">
        <w:rPr>
          <w:rFonts w:ascii="Century" w:hAnsi="Century" w:cs="Miriam" w:hint="eastAsia"/>
          <w:b/>
          <w:sz w:val="22"/>
          <w:rtl/>
        </w:rPr>
        <w:t>מדינת</w:t>
      </w:r>
      <w:r w:rsidRPr="004E1C05">
        <w:rPr>
          <w:rFonts w:ascii="Century" w:hAnsi="Century" w:cs="Miriam"/>
          <w:b/>
          <w:sz w:val="22"/>
          <w:rtl/>
        </w:rPr>
        <w:t xml:space="preserve"> </w:t>
      </w:r>
      <w:r w:rsidRPr="004E1C05">
        <w:rPr>
          <w:rFonts w:ascii="Century" w:hAnsi="Century" w:cs="Miriam" w:hint="eastAsia"/>
          <w:b/>
          <w:sz w:val="22"/>
          <w:rtl/>
        </w:rPr>
        <w:t>ישראל</w:t>
      </w:r>
      <w:r w:rsidRPr="004E1C05">
        <w:rPr>
          <w:rFonts w:ascii="Century" w:hAnsi="Century" w:cs="Miriam"/>
          <w:b/>
          <w:sz w:val="22"/>
          <w:rtl/>
        </w:rPr>
        <w:t xml:space="preserve"> </w:t>
      </w:r>
      <w:r w:rsidRPr="004E1C05">
        <w:rPr>
          <w:rFonts w:ascii="Century" w:hAnsi="Century" w:cs="Miriam" w:hint="eastAsia"/>
          <w:b/>
          <w:sz w:val="22"/>
          <w:rtl/>
        </w:rPr>
        <w:t>נ</w:t>
      </w:r>
      <w:r w:rsidRPr="004E1C05">
        <w:rPr>
          <w:rFonts w:ascii="Century" w:hAnsi="Century" w:cs="Miriam"/>
          <w:b/>
          <w:sz w:val="22"/>
          <w:rtl/>
        </w:rPr>
        <w:t xml:space="preserve">' </w:t>
      </w:r>
      <w:r w:rsidRPr="004E1C05">
        <w:rPr>
          <w:rFonts w:ascii="Century" w:hAnsi="Century" w:cs="Miriam" w:hint="eastAsia"/>
          <w:b/>
          <w:sz w:val="22"/>
          <w:rtl/>
        </w:rPr>
        <w:t>בוחבוט</w:t>
      </w:r>
      <w:r w:rsidRPr="004E1C05">
        <w:rPr>
          <w:rFonts w:ascii="Arial TUR" w:hAnsi="Arial TUR" w:cs="FrankRuehl"/>
          <w:spacing w:val="10"/>
          <w:sz w:val="22"/>
          <w:szCs w:val="28"/>
          <w:rtl/>
        </w:rPr>
        <w:t xml:space="preserve">, </w:t>
      </w:r>
      <w:r w:rsidRPr="004E1C05">
        <w:rPr>
          <w:rFonts w:ascii="Arial TUR" w:hAnsi="Arial TUR" w:cs="FrankRuehl" w:hint="eastAsia"/>
          <w:spacing w:val="10"/>
          <w:sz w:val="22"/>
          <w:szCs w:val="28"/>
          <w:rtl/>
        </w:rPr>
        <w:t>פ</w:t>
      </w:r>
      <w:r w:rsidRPr="004E1C05">
        <w:rPr>
          <w:rFonts w:ascii="Arial TUR" w:hAnsi="Arial TUR" w:cs="FrankRuehl"/>
          <w:spacing w:val="10"/>
          <w:sz w:val="22"/>
          <w:szCs w:val="28"/>
          <w:rtl/>
        </w:rPr>
        <w:t>"</w:t>
      </w:r>
      <w:r w:rsidRPr="004E1C05">
        <w:rPr>
          <w:rFonts w:ascii="Arial TUR" w:hAnsi="Arial TUR" w:cs="FrankRuehl" w:hint="eastAsia"/>
          <w:spacing w:val="10"/>
          <w:sz w:val="22"/>
          <w:szCs w:val="28"/>
          <w:rtl/>
        </w:rPr>
        <w:t>ד</w:t>
      </w:r>
      <w:r w:rsidRPr="004E1C05">
        <w:rPr>
          <w:rFonts w:ascii="Arial TUR" w:hAnsi="Arial TUR" w:cs="FrankRuehl"/>
          <w:spacing w:val="10"/>
          <w:sz w:val="22"/>
          <w:szCs w:val="28"/>
          <w:rtl/>
        </w:rPr>
        <w:t xml:space="preserve"> </w:t>
      </w:r>
      <w:proofErr w:type="spellStart"/>
      <w:r w:rsidRPr="004E1C05">
        <w:rPr>
          <w:rFonts w:ascii="Arial TUR" w:hAnsi="Arial TUR" w:cs="FrankRuehl" w:hint="eastAsia"/>
          <w:spacing w:val="10"/>
          <w:sz w:val="22"/>
          <w:szCs w:val="28"/>
          <w:rtl/>
        </w:rPr>
        <w:t>סג</w:t>
      </w:r>
      <w:proofErr w:type="spellEnd"/>
      <w:r w:rsidRPr="004E1C05">
        <w:rPr>
          <w:rFonts w:ascii="Arial TUR" w:hAnsi="Arial TUR" w:cs="FrankRuehl"/>
          <w:spacing w:val="10"/>
          <w:sz w:val="22"/>
          <w:szCs w:val="28"/>
          <w:rtl/>
        </w:rPr>
        <w:t xml:space="preserve">(1) 63, </w:t>
      </w:r>
      <w:r w:rsidRPr="004E1C05">
        <w:rPr>
          <w:rFonts w:ascii="Arial TUR" w:hAnsi="Arial TUR" w:cs="FrankRuehl" w:hint="cs"/>
          <w:spacing w:val="10"/>
          <w:sz w:val="22"/>
          <w:szCs w:val="28"/>
          <w:rtl/>
        </w:rPr>
        <w:t>פסקאות 13, 20</w:t>
      </w:r>
      <w:r w:rsidRPr="004E1C05">
        <w:rPr>
          <w:rFonts w:ascii="Arial TUR" w:hAnsi="Arial TUR" w:cs="FrankRuehl"/>
          <w:spacing w:val="10"/>
          <w:sz w:val="22"/>
          <w:szCs w:val="28"/>
          <w:rtl/>
        </w:rPr>
        <w:t xml:space="preserve"> (2008)</w:t>
      </w:r>
      <w:r w:rsidRPr="004E1C05">
        <w:rPr>
          <w:rFonts w:ascii="Arial TUR" w:hAnsi="Arial TUR" w:cs="FrankRuehl" w:hint="cs"/>
          <w:spacing w:val="10"/>
          <w:sz w:val="22"/>
          <w:szCs w:val="28"/>
          <w:rtl/>
        </w:rPr>
        <w:t xml:space="preserve">; </w:t>
      </w:r>
      <w:proofErr w:type="spellStart"/>
      <w:r w:rsidRPr="004E1C05">
        <w:rPr>
          <w:rFonts w:ascii="Arial TUR" w:hAnsi="Arial TUR" w:cs="FrankRuehl" w:hint="eastAsia"/>
          <w:spacing w:val="10"/>
          <w:sz w:val="22"/>
          <w:szCs w:val="28"/>
          <w:rtl/>
        </w:rPr>
        <w:t>רע</w:t>
      </w:r>
      <w:r w:rsidRPr="004E1C05">
        <w:rPr>
          <w:rFonts w:ascii="Arial TUR" w:hAnsi="Arial TUR" w:cs="FrankRuehl"/>
          <w:spacing w:val="10"/>
          <w:sz w:val="22"/>
          <w:szCs w:val="28"/>
          <w:rtl/>
        </w:rPr>
        <w:t>"</w:t>
      </w:r>
      <w:r w:rsidRPr="004E1C05">
        <w:rPr>
          <w:rFonts w:ascii="Arial TUR" w:hAnsi="Arial TUR" w:cs="FrankRuehl" w:hint="eastAsia"/>
          <w:spacing w:val="10"/>
          <w:sz w:val="22"/>
          <w:szCs w:val="28"/>
          <w:rtl/>
        </w:rPr>
        <w:t>פ</w:t>
      </w:r>
      <w:proofErr w:type="spellEnd"/>
      <w:r w:rsidRPr="004E1C05">
        <w:rPr>
          <w:rFonts w:ascii="Arial TUR" w:hAnsi="Arial TUR" w:cs="FrankRuehl"/>
          <w:spacing w:val="10"/>
          <w:sz w:val="22"/>
          <w:szCs w:val="28"/>
          <w:rtl/>
        </w:rPr>
        <w:t xml:space="preserve"> 9188/06 </w:t>
      </w:r>
      <w:r w:rsidRPr="004E1C05">
        <w:rPr>
          <w:rFonts w:ascii="Century" w:hAnsi="Century" w:cs="Miriam" w:hint="eastAsia"/>
          <w:b/>
          <w:sz w:val="22"/>
          <w:rtl/>
        </w:rPr>
        <w:t>עדי</w:t>
      </w:r>
      <w:r w:rsidRPr="004E1C05">
        <w:rPr>
          <w:rFonts w:ascii="Century" w:hAnsi="Century" w:cs="Miriam"/>
          <w:b/>
          <w:sz w:val="22"/>
          <w:rtl/>
        </w:rPr>
        <w:t xml:space="preserve"> </w:t>
      </w:r>
      <w:r w:rsidRPr="004E1C05">
        <w:rPr>
          <w:rFonts w:ascii="Century" w:hAnsi="Century" w:cs="Miriam" w:hint="eastAsia"/>
          <w:b/>
          <w:sz w:val="22"/>
          <w:rtl/>
        </w:rPr>
        <w:t>נ</w:t>
      </w:r>
      <w:r w:rsidRPr="004E1C05">
        <w:rPr>
          <w:rFonts w:ascii="Century" w:hAnsi="Century" w:cs="Miriam"/>
          <w:b/>
          <w:sz w:val="22"/>
          <w:rtl/>
        </w:rPr>
        <w:t xml:space="preserve">' </w:t>
      </w:r>
      <w:r w:rsidRPr="004E1C05">
        <w:rPr>
          <w:rFonts w:ascii="Century" w:hAnsi="Century" w:cs="Miriam" w:hint="eastAsia"/>
          <w:b/>
          <w:sz w:val="22"/>
          <w:rtl/>
        </w:rPr>
        <w:t>מדינת</w:t>
      </w:r>
      <w:r w:rsidRPr="004E1C05">
        <w:rPr>
          <w:rFonts w:ascii="Century" w:hAnsi="Century" w:cs="Miriam"/>
          <w:b/>
          <w:sz w:val="22"/>
          <w:rtl/>
        </w:rPr>
        <w:t xml:space="preserve"> </w:t>
      </w:r>
      <w:r w:rsidRPr="004E1C05">
        <w:rPr>
          <w:rFonts w:ascii="Century" w:hAnsi="Century" w:cs="Miriam" w:hint="eastAsia"/>
          <w:b/>
          <w:sz w:val="22"/>
          <w:rtl/>
        </w:rPr>
        <w:t>ישראל</w:t>
      </w:r>
      <w:r w:rsidRPr="004E1C05">
        <w:rPr>
          <w:rFonts w:ascii="Arial TUR" w:hAnsi="Arial TUR" w:cs="FrankRuehl"/>
          <w:spacing w:val="10"/>
          <w:sz w:val="22"/>
          <w:szCs w:val="28"/>
          <w:rtl/>
        </w:rPr>
        <w:t xml:space="preserve"> (5.7.2010)</w:t>
      </w:r>
      <w:r w:rsidRPr="004E1C05">
        <w:rPr>
          <w:rFonts w:ascii="Arial TUR" w:hAnsi="Arial TUR" w:cs="FrankRuehl" w:hint="cs"/>
          <w:spacing w:val="10"/>
          <w:sz w:val="22"/>
          <w:szCs w:val="28"/>
          <w:rtl/>
        </w:rPr>
        <w:t xml:space="preserve"> </w:t>
      </w:r>
      <w:r w:rsidRPr="004E1C05">
        <w:rPr>
          <w:rFonts w:ascii="Arial TUR" w:hAnsi="Arial TUR" w:cs="FrankRuehl"/>
          <w:spacing w:val="10"/>
          <w:sz w:val="22"/>
          <w:szCs w:val="28"/>
          <w:rtl/>
        </w:rPr>
        <w:t xml:space="preserve">(להלן: </w:t>
      </w:r>
      <w:r w:rsidRPr="004E1C05">
        <w:rPr>
          <w:rFonts w:ascii="Century" w:hAnsi="Century" w:cs="FrankRuehl" w:hint="cs"/>
          <w:spacing w:val="10"/>
          <w:sz w:val="22"/>
          <w:szCs w:val="28"/>
          <w:rtl/>
        </w:rPr>
        <w:t>עניין</w:t>
      </w:r>
      <w:r w:rsidRPr="004E1C05">
        <w:rPr>
          <w:rFonts w:ascii="Century" w:hAnsi="Century" w:cs="Miriam" w:hint="cs"/>
          <w:b/>
          <w:sz w:val="22"/>
          <w:rtl/>
        </w:rPr>
        <w:t xml:space="preserve"> עדי</w:t>
      </w:r>
      <w:r w:rsidRPr="004E1C05">
        <w:rPr>
          <w:rFonts w:ascii="Century" w:hAnsi="Century" w:cs="FrankRuehl" w:hint="cs"/>
          <w:spacing w:val="10"/>
          <w:sz w:val="22"/>
          <w:szCs w:val="28"/>
          <w:rtl/>
        </w:rPr>
        <w:t xml:space="preserve">); </w:t>
      </w:r>
      <w:r w:rsidRPr="004E1C05">
        <w:rPr>
          <w:rFonts w:ascii="Arial TUR" w:hAnsi="Arial TUR" w:cs="FrankRuehl" w:hint="eastAsia"/>
          <w:spacing w:val="10"/>
          <w:sz w:val="22"/>
          <w:szCs w:val="28"/>
          <w:rtl/>
        </w:rPr>
        <w:t>ע</w:t>
      </w:r>
      <w:r w:rsidRPr="004E1C05">
        <w:rPr>
          <w:rFonts w:ascii="Arial TUR" w:hAnsi="Arial TUR" w:cs="FrankRuehl"/>
          <w:spacing w:val="10"/>
          <w:sz w:val="22"/>
          <w:szCs w:val="28"/>
          <w:rtl/>
        </w:rPr>
        <w:t>"</w:t>
      </w:r>
      <w:r w:rsidRPr="004E1C05">
        <w:rPr>
          <w:rFonts w:ascii="Arial TUR" w:hAnsi="Arial TUR" w:cs="FrankRuehl" w:hint="eastAsia"/>
          <w:spacing w:val="10"/>
          <w:sz w:val="22"/>
          <w:szCs w:val="28"/>
          <w:rtl/>
        </w:rPr>
        <w:t>פ</w:t>
      </w:r>
      <w:r w:rsidRPr="004E1C05">
        <w:rPr>
          <w:rFonts w:ascii="Arial TUR" w:hAnsi="Arial TUR" w:cs="FrankRuehl"/>
          <w:spacing w:val="10"/>
          <w:sz w:val="22"/>
          <w:szCs w:val="28"/>
          <w:rtl/>
        </w:rPr>
        <w:t xml:space="preserve"> 84</w:t>
      </w:r>
      <w:r w:rsidRPr="004E1C05">
        <w:rPr>
          <w:rFonts w:ascii="Arial TUR" w:hAnsi="Arial TUR" w:cs="FrankRuehl" w:hint="cs"/>
          <w:spacing w:val="10"/>
          <w:sz w:val="22"/>
          <w:szCs w:val="28"/>
          <w:rtl/>
        </w:rPr>
        <w:t>/</w:t>
      </w:r>
      <w:r w:rsidRPr="004E1C05">
        <w:rPr>
          <w:rFonts w:ascii="Arial TUR" w:hAnsi="Arial TUR" w:cs="FrankRuehl"/>
          <w:spacing w:val="10"/>
          <w:sz w:val="22"/>
          <w:szCs w:val="28"/>
          <w:rtl/>
        </w:rPr>
        <w:t xml:space="preserve">85 </w:t>
      </w:r>
      <w:r w:rsidRPr="004E1C05">
        <w:rPr>
          <w:rFonts w:ascii="Century" w:hAnsi="Century" w:cs="Miriam" w:hint="eastAsia"/>
          <w:b/>
          <w:sz w:val="22"/>
          <w:rtl/>
        </w:rPr>
        <w:t>בן</w:t>
      </w:r>
      <w:r w:rsidRPr="004E1C05">
        <w:rPr>
          <w:rFonts w:ascii="Century" w:hAnsi="Century" w:cs="Miriam"/>
          <w:b/>
          <w:sz w:val="22"/>
          <w:rtl/>
        </w:rPr>
        <w:t xml:space="preserve"> </w:t>
      </w:r>
      <w:r w:rsidRPr="004E1C05">
        <w:rPr>
          <w:rFonts w:ascii="Century" w:hAnsi="Century" w:cs="Miriam" w:hint="eastAsia"/>
          <w:b/>
          <w:sz w:val="22"/>
          <w:rtl/>
        </w:rPr>
        <w:t>שמואל</w:t>
      </w:r>
      <w:r w:rsidRPr="004E1C05">
        <w:rPr>
          <w:rFonts w:ascii="Century" w:hAnsi="Century" w:cs="Miriam"/>
          <w:b/>
          <w:sz w:val="22"/>
          <w:rtl/>
        </w:rPr>
        <w:t xml:space="preserve"> </w:t>
      </w:r>
      <w:r w:rsidRPr="004E1C05">
        <w:rPr>
          <w:rFonts w:ascii="Century" w:hAnsi="Century" w:cs="Miriam" w:hint="eastAsia"/>
          <w:b/>
          <w:sz w:val="22"/>
          <w:rtl/>
        </w:rPr>
        <w:t>ליכטנשטיין</w:t>
      </w:r>
      <w:r w:rsidRPr="004E1C05">
        <w:rPr>
          <w:rFonts w:ascii="Century" w:hAnsi="Century" w:cs="Miriam"/>
          <w:b/>
          <w:sz w:val="22"/>
          <w:rtl/>
        </w:rPr>
        <w:t xml:space="preserve"> </w:t>
      </w:r>
      <w:r w:rsidRPr="004E1C05">
        <w:rPr>
          <w:rFonts w:ascii="Century" w:hAnsi="Century" w:cs="Miriam" w:hint="eastAsia"/>
          <w:b/>
          <w:sz w:val="22"/>
          <w:rtl/>
        </w:rPr>
        <w:t>נ</w:t>
      </w:r>
      <w:r w:rsidRPr="004E1C05">
        <w:rPr>
          <w:rFonts w:ascii="Century" w:hAnsi="Century" w:cs="Miriam"/>
          <w:b/>
          <w:sz w:val="22"/>
          <w:rtl/>
        </w:rPr>
        <w:t xml:space="preserve">' </w:t>
      </w:r>
      <w:r w:rsidRPr="004E1C05">
        <w:rPr>
          <w:rFonts w:ascii="Century" w:hAnsi="Century" w:cs="Miriam" w:hint="eastAsia"/>
          <w:b/>
          <w:sz w:val="22"/>
          <w:rtl/>
        </w:rPr>
        <w:t>מדינת</w:t>
      </w:r>
      <w:r w:rsidRPr="004E1C05">
        <w:rPr>
          <w:rFonts w:ascii="Century" w:hAnsi="Century" w:cs="Miriam"/>
          <w:b/>
          <w:sz w:val="22"/>
          <w:rtl/>
        </w:rPr>
        <w:t xml:space="preserve"> </w:t>
      </w:r>
      <w:r w:rsidRPr="004E1C05">
        <w:rPr>
          <w:rFonts w:ascii="Century" w:hAnsi="Century" w:cs="Miriam" w:hint="eastAsia"/>
          <w:b/>
          <w:sz w:val="22"/>
          <w:rtl/>
        </w:rPr>
        <w:t>ישראל</w:t>
      </w:r>
      <w:r w:rsidRPr="004E1C05">
        <w:rPr>
          <w:rFonts w:ascii="Arial TUR" w:hAnsi="Arial TUR" w:cs="FrankRuehl"/>
          <w:spacing w:val="10"/>
          <w:sz w:val="22"/>
          <w:szCs w:val="28"/>
          <w:rtl/>
        </w:rPr>
        <w:t xml:space="preserve">, </w:t>
      </w:r>
      <w:r w:rsidRPr="004E1C05">
        <w:rPr>
          <w:rFonts w:ascii="Arial TUR" w:hAnsi="Arial TUR" w:cs="FrankRuehl" w:hint="eastAsia"/>
          <w:spacing w:val="10"/>
          <w:sz w:val="22"/>
          <w:szCs w:val="28"/>
          <w:rtl/>
        </w:rPr>
        <w:t>פ</w:t>
      </w:r>
      <w:r w:rsidRPr="004E1C05">
        <w:rPr>
          <w:rFonts w:ascii="Arial TUR" w:hAnsi="Arial TUR" w:cs="FrankRuehl"/>
          <w:spacing w:val="10"/>
          <w:sz w:val="22"/>
          <w:szCs w:val="28"/>
          <w:rtl/>
        </w:rPr>
        <w:t>"</w:t>
      </w:r>
      <w:r w:rsidRPr="004E1C05">
        <w:rPr>
          <w:rFonts w:ascii="Arial TUR" w:hAnsi="Arial TUR" w:cs="FrankRuehl" w:hint="eastAsia"/>
          <w:spacing w:val="10"/>
          <w:sz w:val="22"/>
          <w:szCs w:val="28"/>
          <w:rtl/>
        </w:rPr>
        <w:t>ד</w:t>
      </w:r>
      <w:r w:rsidRPr="004E1C05">
        <w:rPr>
          <w:rFonts w:ascii="Arial TUR" w:hAnsi="Arial TUR" w:cs="FrankRuehl"/>
          <w:spacing w:val="10"/>
          <w:sz w:val="22"/>
          <w:szCs w:val="28"/>
          <w:rtl/>
        </w:rPr>
        <w:t xml:space="preserve"> </w:t>
      </w:r>
      <w:r w:rsidRPr="004E1C05">
        <w:rPr>
          <w:rFonts w:ascii="Arial TUR" w:hAnsi="Arial TUR" w:cs="FrankRuehl" w:hint="eastAsia"/>
          <w:spacing w:val="10"/>
          <w:sz w:val="22"/>
          <w:szCs w:val="28"/>
          <w:rtl/>
        </w:rPr>
        <w:t>מ</w:t>
      </w:r>
      <w:r w:rsidRPr="004E1C05">
        <w:rPr>
          <w:rFonts w:ascii="Arial TUR" w:hAnsi="Arial TUR" w:cs="FrankRuehl"/>
          <w:spacing w:val="10"/>
          <w:sz w:val="22"/>
          <w:szCs w:val="28"/>
          <w:rtl/>
        </w:rPr>
        <w:t xml:space="preserve">(3) 141, </w:t>
      </w:r>
      <w:r w:rsidRPr="004E1C05">
        <w:rPr>
          <w:rFonts w:ascii="Arial TUR" w:hAnsi="Arial TUR" w:cs="FrankRuehl" w:hint="cs"/>
          <w:spacing w:val="10"/>
          <w:sz w:val="22"/>
          <w:szCs w:val="28"/>
          <w:rtl/>
        </w:rPr>
        <w:t>154-150</w:t>
      </w:r>
      <w:r w:rsidRPr="004E1C05">
        <w:rPr>
          <w:rFonts w:ascii="Arial TUR" w:hAnsi="Arial TUR" w:cs="FrankRuehl"/>
          <w:spacing w:val="10"/>
          <w:sz w:val="22"/>
          <w:szCs w:val="28"/>
          <w:rtl/>
        </w:rPr>
        <w:t xml:space="preserve"> (1986)</w:t>
      </w:r>
      <w:r w:rsidRPr="004E1C05">
        <w:rPr>
          <w:rFonts w:ascii="Arial TUR" w:hAnsi="Arial TUR" w:cs="FrankRuehl" w:hint="cs"/>
          <w:spacing w:val="10"/>
          <w:sz w:val="22"/>
          <w:szCs w:val="28"/>
          <w:rtl/>
        </w:rPr>
        <w:t xml:space="preserve">; והשוו </w:t>
      </w:r>
      <w:proofErr w:type="spellStart"/>
      <w:r w:rsidRPr="004E1C05">
        <w:rPr>
          <w:rFonts w:ascii="Arial TUR" w:hAnsi="Arial TUR" w:cs="FrankRuehl" w:hint="cs"/>
          <w:spacing w:val="10"/>
          <w:sz w:val="22"/>
          <w:szCs w:val="28"/>
          <w:rtl/>
        </w:rPr>
        <w:t>ל</w:t>
      </w:r>
      <w:r w:rsidRPr="004E1C05">
        <w:rPr>
          <w:rFonts w:ascii="Arial TUR" w:hAnsi="Arial TUR" w:cs="FrankRuehl" w:hint="eastAsia"/>
          <w:spacing w:val="10"/>
          <w:sz w:val="22"/>
          <w:szCs w:val="28"/>
          <w:rtl/>
        </w:rPr>
        <w:t>ע</w:t>
      </w:r>
      <w:r w:rsidRPr="004E1C05">
        <w:rPr>
          <w:rFonts w:ascii="Arial TUR" w:hAnsi="Arial TUR" w:cs="FrankRuehl"/>
          <w:spacing w:val="10"/>
          <w:sz w:val="22"/>
          <w:szCs w:val="28"/>
          <w:rtl/>
        </w:rPr>
        <w:t>"</w:t>
      </w:r>
      <w:r w:rsidRPr="004E1C05">
        <w:rPr>
          <w:rFonts w:ascii="Arial TUR" w:hAnsi="Arial TUR" w:cs="FrankRuehl" w:hint="eastAsia"/>
          <w:spacing w:val="10"/>
          <w:sz w:val="22"/>
          <w:szCs w:val="28"/>
          <w:rtl/>
        </w:rPr>
        <w:t>פ</w:t>
      </w:r>
      <w:proofErr w:type="spellEnd"/>
      <w:r w:rsidRPr="004E1C05">
        <w:rPr>
          <w:rFonts w:ascii="Arial TUR" w:hAnsi="Arial TUR" w:cs="FrankRuehl"/>
          <w:spacing w:val="10"/>
          <w:sz w:val="22"/>
          <w:szCs w:val="28"/>
          <w:rtl/>
        </w:rPr>
        <w:t xml:space="preserve"> 2910/94 </w:t>
      </w:r>
      <w:r w:rsidRPr="004E1C05">
        <w:rPr>
          <w:rFonts w:ascii="Century" w:hAnsi="Century" w:cs="Miriam" w:hint="eastAsia"/>
          <w:b/>
          <w:sz w:val="22"/>
          <w:rtl/>
        </w:rPr>
        <w:t>יפת</w:t>
      </w:r>
      <w:r w:rsidRPr="004E1C05">
        <w:rPr>
          <w:rFonts w:ascii="Century" w:hAnsi="Century" w:cs="Miriam"/>
          <w:b/>
          <w:sz w:val="22"/>
          <w:rtl/>
        </w:rPr>
        <w:t xml:space="preserve"> </w:t>
      </w:r>
      <w:r w:rsidRPr="004E1C05">
        <w:rPr>
          <w:rFonts w:ascii="Century" w:hAnsi="Century" w:cs="Miriam" w:hint="eastAsia"/>
          <w:b/>
          <w:sz w:val="22"/>
          <w:rtl/>
        </w:rPr>
        <w:t>נ</w:t>
      </w:r>
      <w:r w:rsidRPr="004E1C05">
        <w:rPr>
          <w:rFonts w:ascii="Century" w:hAnsi="Century" w:cs="Miriam"/>
          <w:b/>
          <w:sz w:val="22"/>
          <w:rtl/>
        </w:rPr>
        <w:t xml:space="preserve">' </w:t>
      </w:r>
      <w:r w:rsidRPr="004E1C05">
        <w:rPr>
          <w:rFonts w:ascii="Century" w:hAnsi="Century" w:cs="Miriam" w:hint="eastAsia"/>
          <w:b/>
          <w:sz w:val="22"/>
          <w:rtl/>
        </w:rPr>
        <w:t>מדינת</w:t>
      </w:r>
      <w:r w:rsidRPr="004E1C05">
        <w:rPr>
          <w:rFonts w:ascii="Century" w:hAnsi="Century" w:cs="Miriam"/>
          <w:b/>
          <w:sz w:val="22"/>
          <w:rtl/>
        </w:rPr>
        <w:t xml:space="preserve"> </w:t>
      </w:r>
      <w:r w:rsidRPr="004E1C05">
        <w:rPr>
          <w:rFonts w:ascii="Century" w:hAnsi="Century" w:cs="Miriam" w:hint="eastAsia"/>
          <w:b/>
          <w:sz w:val="22"/>
          <w:rtl/>
        </w:rPr>
        <w:t>ישראל</w:t>
      </w:r>
      <w:r w:rsidRPr="004E1C05">
        <w:rPr>
          <w:rFonts w:ascii="Arial TUR" w:hAnsi="Arial TUR" w:cs="FrankRuehl"/>
          <w:spacing w:val="10"/>
          <w:sz w:val="22"/>
          <w:szCs w:val="28"/>
          <w:rtl/>
        </w:rPr>
        <w:t xml:space="preserve">, </w:t>
      </w:r>
      <w:r w:rsidRPr="004E1C05">
        <w:rPr>
          <w:rFonts w:ascii="Arial TUR" w:hAnsi="Arial TUR" w:cs="FrankRuehl" w:hint="eastAsia"/>
          <w:spacing w:val="10"/>
          <w:sz w:val="22"/>
          <w:szCs w:val="28"/>
          <w:rtl/>
        </w:rPr>
        <w:t>פ</w:t>
      </w:r>
      <w:r w:rsidRPr="004E1C05">
        <w:rPr>
          <w:rFonts w:ascii="Arial TUR" w:hAnsi="Arial TUR" w:cs="FrankRuehl"/>
          <w:spacing w:val="10"/>
          <w:sz w:val="22"/>
          <w:szCs w:val="28"/>
          <w:rtl/>
        </w:rPr>
        <w:t>"</w:t>
      </w:r>
      <w:r w:rsidRPr="004E1C05">
        <w:rPr>
          <w:rFonts w:ascii="Arial TUR" w:hAnsi="Arial TUR" w:cs="FrankRuehl" w:hint="eastAsia"/>
          <w:spacing w:val="10"/>
          <w:sz w:val="22"/>
          <w:szCs w:val="28"/>
          <w:rtl/>
        </w:rPr>
        <w:t>ד</w:t>
      </w:r>
      <w:r w:rsidRPr="004E1C05">
        <w:rPr>
          <w:rFonts w:ascii="Arial TUR" w:hAnsi="Arial TUR" w:cs="FrankRuehl"/>
          <w:spacing w:val="10"/>
          <w:sz w:val="22"/>
          <w:szCs w:val="28"/>
          <w:rtl/>
        </w:rPr>
        <w:t xml:space="preserve"> </w:t>
      </w:r>
      <w:r w:rsidRPr="004E1C05">
        <w:rPr>
          <w:rFonts w:ascii="Arial TUR" w:hAnsi="Arial TUR" w:cs="FrankRuehl" w:hint="eastAsia"/>
          <w:spacing w:val="10"/>
          <w:sz w:val="22"/>
          <w:szCs w:val="28"/>
          <w:rtl/>
        </w:rPr>
        <w:t>נ</w:t>
      </w:r>
      <w:r w:rsidRPr="004E1C05">
        <w:rPr>
          <w:rFonts w:ascii="Arial TUR" w:hAnsi="Arial TUR" w:cs="FrankRuehl"/>
          <w:spacing w:val="10"/>
          <w:sz w:val="22"/>
          <w:szCs w:val="28"/>
          <w:rtl/>
        </w:rPr>
        <w:t>(2) 353</w:t>
      </w:r>
      <w:r w:rsidRPr="004E1C05">
        <w:rPr>
          <w:rFonts w:ascii="Arial TUR" w:hAnsi="Arial TUR" w:cs="FrankRuehl" w:hint="cs"/>
          <w:spacing w:val="10"/>
          <w:sz w:val="22"/>
          <w:szCs w:val="28"/>
          <w:rtl/>
        </w:rPr>
        <w:t xml:space="preserve">, 440 </w:t>
      </w:r>
      <w:r w:rsidRPr="004E1C05">
        <w:rPr>
          <w:rFonts w:ascii="Arial TUR" w:hAnsi="Arial TUR" w:cs="FrankRuehl"/>
          <w:spacing w:val="10"/>
          <w:sz w:val="22"/>
          <w:szCs w:val="28"/>
          <w:rtl/>
        </w:rPr>
        <w:t>(1996</w:t>
      </w:r>
      <w:r w:rsidRPr="004E1C05">
        <w:rPr>
          <w:rFonts w:ascii="Arial TUR" w:hAnsi="Arial TUR" w:cs="FrankRuehl" w:hint="cs"/>
          <w:spacing w:val="10"/>
          <w:sz w:val="22"/>
          <w:szCs w:val="28"/>
          <w:rtl/>
        </w:rPr>
        <w:t xml:space="preserve">), שם נאמר כי ככל שנדרש מקור חובה עצמאי לצורך הרשעה בסיוע על דרך של מחדל לביצוע עבירת רישום כוזב במסמכי תאגיד, הרי שמקור שכזה  </w:t>
      </w:r>
      <w:r w:rsidRPr="004E1C05">
        <w:rPr>
          <w:rFonts w:ascii="FrankRuehl" w:hAnsi="FrankRuehl" w:cs="FrankRuehl" w:hint="cs"/>
          <w:color w:val="000000"/>
          <w:spacing w:val="10"/>
          <w:sz w:val="22"/>
          <w:szCs w:val="28"/>
          <w:rtl/>
        </w:rPr>
        <w:t>יכול "</w:t>
      </w:r>
      <w:r w:rsidRPr="004E1C05">
        <w:rPr>
          <w:rFonts w:ascii="FrankRuehl" w:hAnsi="FrankRuehl" w:cs="FrankRuehl"/>
          <w:color w:val="000000"/>
          <w:spacing w:val="10"/>
          <w:sz w:val="22"/>
          <w:szCs w:val="28"/>
          <w:rtl/>
        </w:rPr>
        <w:t>לנבוע מן הדין, מהתחייבות או מאופי התפקיד</w:t>
      </w:r>
      <w:r w:rsidRPr="004E1C05">
        <w:rPr>
          <w:rFonts w:ascii="FrankRuehl" w:hAnsi="FrankRuehl" w:cs="FrankRuehl" w:hint="cs"/>
          <w:color w:val="000000"/>
          <w:spacing w:val="10"/>
          <w:sz w:val="22"/>
          <w:szCs w:val="28"/>
          <w:rtl/>
        </w:rPr>
        <w:t xml:space="preserve">"). </w:t>
      </w:r>
    </w:p>
    <w:p w:rsidR="00814BEB" w:rsidRPr="004E1C05" w:rsidRDefault="00814BEB" w:rsidP="00814BEB">
      <w:pPr>
        <w:tabs>
          <w:tab w:val="left" w:pos="800"/>
        </w:tabs>
        <w:spacing w:line="360" w:lineRule="auto"/>
        <w:jc w:val="both"/>
        <w:rPr>
          <w:rFonts w:ascii="FrankRuehl" w:hAnsi="FrankRuehl" w:cs="FrankRuehl"/>
          <w:color w:val="000000"/>
          <w:spacing w:val="10"/>
          <w:sz w:val="22"/>
          <w:szCs w:val="28"/>
          <w:rtl/>
        </w:rPr>
      </w:pPr>
    </w:p>
    <w:p w:rsidR="00814BEB" w:rsidRPr="004E1C05" w:rsidRDefault="00814BEB" w:rsidP="00814BEB">
      <w:pPr>
        <w:tabs>
          <w:tab w:val="left" w:pos="800"/>
        </w:tabs>
        <w:spacing w:line="360" w:lineRule="auto"/>
        <w:jc w:val="both"/>
        <w:rPr>
          <w:rFonts w:ascii="FrankRuehl" w:hAnsi="FrankRuehl" w:cs="FrankRuehl"/>
          <w:color w:val="000000"/>
          <w:spacing w:val="10"/>
          <w:sz w:val="22"/>
          <w:szCs w:val="28"/>
          <w:rtl/>
        </w:rPr>
      </w:pPr>
      <w:r w:rsidRPr="004E1C05">
        <w:rPr>
          <w:rFonts w:ascii="FrankRuehl" w:hAnsi="FrankRuehl" w:cs="FrankRuehl"/>
          <w:color w:val="000000"/>
          <w:spacing w:val="10"/>
          <w:sz w:val="22"/>
          <w:szCs w:val="28"/>
          <w:rtl/>
        </w:rPr>
        <w:tab/>
      </w:r>
      <w:r w:rsidRPr="004E1C05">
        <w:rPr>
          <w:rFonts w:ascii="FrankRuehl" w:hAnsi="FrankRuehl" w:cs="FrankRuehl" w:hint="cs"/>
          <w:color w:val="000000"/>
          <w:spacing w:val="10"/>
          <w:sz w:val="22"/>
          <w:szCs w:val="28"/>
          <w:rtl/>
        </w:rPr>
        <w:t>לסיכום, כפי שהמשפט הפלילי שואב נורמות התנהגות מהמשפט האזרחי, כך ניתן לשאוב גם חובת סודיות שהפרתה נתונה לסנקציה פלילית. מכל מקום, דומה כי השאלה של מקור חובת הסודיות אינה בהכרח השאלה העיקרית המונחת לפתחו של בית המשפט, אלא השאלה אם הופרה חובת האמונים, כאשר תוכן החובה מעוגן בחקיקה אזרחית ועל כך אעמוד להלן.</w:t>
      </w:r>
    </w:p>
    <w:p w:rsidR="00814BEB" w:rsidRPr="004E1C05" w:rsidRDefault="00814BEB" w:rsidP="00814BEB">
      <w:pPr>
        <w:tabs>
          <w:tab w:val="left" w:pos="800"/>
        </w:tabs>
        <w:spacing w:line="360" w:lineRule="auto"/>
        <w:jc w:val="both"/>
        <w:rPr>
          <w:rFonts w:ascii="Century" w:hAnsi="Century" w:cs="FrankRuehl"/>
          <w:spacing w:val="10"/>
          <w:sz w:val="22"/>
          <w:szCs w:val="28"/>
          <w:rtl/>
        </w:rPr>
      </w:pPr>
    </w:p>
    <w:p w:rsidR="00814BEB" w:rsidRPr="004E1C05" w:rsidRDefault="00814BEB" w:rsidP="00814BEB">
      <w:pPr>
        <w:tabs>
          <w:tab w:val="left" w:pos="800"/>
        </w:tabs>
        <w:spacing w:line="360" w:lineRule="auto"/>
        <w:jc w:val="both"/>
        <w:rPr>
          <w:rFonts w:ascii="Century" w:hAnsi="Century" w:cs="FrankRuehl"/>
          <w:spacing w:val="10"/>
          <w:sz w:val="22"/>
          <w:szCs w:val="28"/>
          <w:rtl/>
        </w:rPr>
      </w:pPr>
      <w:r w:rsidRPr="004E1C05">
        <w:rPr>
          <w:rFonts w:ascii="Century" w:hAnsi="Century" w:cs="FrankRuehl" w:hint="cs"/>
          <w:spacing w:val="10"/>
          <w:sz w:val="22"/>
          <w:szCs w:val="28"/>
          <w:rtl/>
        </w:rPr>
        <w:lastRenderedPageBreak/>
        <w:t>3.</w:t>
      </w:r>
      <w:r w:rsidRPr="004E1C05">
        <w:rPr>
          <w:rFonts w:ascii="Century" w:hAnsi="Century" w:cs="FrankRuehl" w:hint="cs"/>
          <w:spacing w:val="10"/>
          <w:sz w:val="22"/>
          <w:szCs w:val="28"/>
          <w:rtl/>
        </w:rPr>
        <w:tab/>
        <w:t>סעיף 254(א) לחוק החברות קובע כלהלן:</w:t>
      </w:r>
    </w:p>
    <w:p w:rsidR="00814BEB" w:rsidRPr="004E1C05" w:rsidRDefault="00814BEB" w:rsidP="00814BEB">
      <w:pPr>
        <w:ind w:left="1644" w:right="1276"/>
        <w:jc w:val="both"/>
        <w:rPr>
          <w:rFonts w:ascii="Century" w:hAnsi="Century" w:cs="FrankRuehl"/>
          <w:spacing w:val="10"/>
          <w:sz w:val="22"/>
          <w:szCs w:val="28"/>
          <w:rtl/>
        </w:rPr>
      </w:pPr>
    </w:p>
    <w:p w:rsidR="00814BEB" w:rsidRPr="004E1C05" w:rsidRDefault="00814BEB" w:rsidP="00814BEB">
      <w:pPr>
        <w:spacing w:line="276" w:lineRule="auto"/>
        <w:ind w:left="1644" w:right="1276"/>
        <w:jc w:val="both"/>
        <w:rPr>
          <w:rFonts w:ascii="Century" w:hAnsi="Century" w:cs="Miriam"/>
          <w:b/>
          <w:sz w:val="22"/>
          <w:rtl/>
        </w:rPr>
      </w:pPr>
      <w:r w:rsidRPr="004E1C05">
        <w:rPr>
          <w:rFonts w:ascii="Century" w:hAnsi="Century" w:cs="Miriam" w:hint="cs"/>
          <w:b/>
          <w:sz w:val="22"/>
          <w:rtl/>
        </w:rPr>
        <w:t xml:space="preserve">חובת אמונים </w:t>
      </w:r>
    </w:p>
    <w:p w:rsidR="00814BEB" w:rsidRPr="004E1C05" w:rsidRDefault="00814BEB" w:rsidP="00814BEB">
      <w:pPr>
        <w:ind w:left="1644" w:right="1276"/>
        <w:jc w:val="both"/>
        <w:rPr>
          <w:rFonts w:ascii="Century" w:hAnsi="Century" w:cs="FrankRuehl"/>
          <w:spacing w:val="10"/>
          <w:sz w:val="22"/>
          <w:szCs w:val="28"/>
        </w:rPr>
      </w:pPr>
      <w:r w:rsidRPr="004E1C05">
        <w:rPr>
          <w:rFonts w:ascii="Century" w:hAnsi="Century" w:cs="FrankRuehl" w:hint="cs"/>
          <w:spacing w:val="10"/>
          <w:sz w:val="22"/>
          <w:szCs w:val="28"/>
          <w:rtl/>
        </w:rPr>
        <w:t xml:space="preserve">254. (א) </w:t>
      </w:r>
      <w:r w:rsidRPr="004E1C05">
        <w:rPr>
          <w:rFonts w:ascii="Century" w:hAnsi="Century" w:cs="FrankRuehl"/>
          <w:spacing w:val="10"/>
          <w:sz w:val="22"/>
          <w:szCs w:val="28"/>
          <w:rtl/>
        </w:rPr>
        <w:t>נושא משרה חב חובת אמונים לחברה, ינהג בתום לב ויפעל לטובתה, ובכלל זה –</w:t>
      </w:r>
    </w:p>
    <w:p w:rsidR="00814BEB" w:rsidRPr="004E1C05" w:rsidRDefault="00814BEB" w:rsidP="00814BEB">
      <w:pPr>
        <w:ind w:left="1644" w:right="1276"/>
        <w:jc w:val="both"/>
        <w:rPr>
          <w:rFonts w:ascii="Century" w:hAnsi="Century" w:cs="FrankRuehl"/>
          <w:spacing w:val="10"/>
          <w:sz w:val="22"/>
          <w:szCs w:val="28"/>
          <w:rtl/>
        </w:rPr>
      </w:pPr>
      <w:r w:rsidRPr="004E1C05">
        <w:rPr>
          <w:rFonts w:ascii="Century" w:hAnsi="Century" w:cs="FrankRuehl"/>
          <w:spacing w:val="10"/>
          <w:sz w:val="22"/>
          <w:szCs w:val="28"/>
          <w:rtl/>
        </w:rPr>
        <w:t xml:space="preserve">(1) יימנע מכל פעולה שיש בה ניגוד </w:t>
      </w:r>
      <w:proofErr w:type="spellStart"/>
      <w:r w:rsidRPr="004E1C05">
        <w:rPr>
          <w:rFonts w:ascii="Century" w:hAnsi="Century" w:cs="FrankRuehl"/>
          <w:spacing w:val="10"/>
          <w:sz w:val="22"/>
          <w:szCs w:val="28"/>
          <w:rtl/>
        </w:rPr>
        <w:t>ענינים</w:t>
      </w:r>
      <w:proofErr w:type="spellEnd"/>
      <w:r w:rsidRPr="004E1C05">
        <w:rPr>
          <w:rFonts w:ascii="Century" w:hAnsi="Century" w:cs="FrankRuehl"/>
          <w:spacing w:val="10"/>
          <w:sz w:val="22"/>
          <w:szCs w:val="28"/>
          <w:rtl/>
        </w:rPr>
        <w:t xml:space="preserve"> בין מילוי תפקידו בחברה לבין מילוי תפקיד אחר שלו או לבין </w:t>
      </w:r>
      <w:proofErr w:type="spellStart"/>
      <w:r w:rsidRPr="004E1C05">
        <w:rPr>
          <w:rFonts w:ascii="Century" w:hAnsi="Century" w:cs="FrankRuehl"/>
          <w:spacing w:val="10"/>
          <w:sz w:val="22"/>
          <w:szCs w:val="28"/>
          <w:rtl/>
        </w:rPr>
        <w:t>עניניו</w:t>
      </w:r>
      <w:proofErr w:type="spellEnd"/>
      <w:r w:rsidRPr="004E1C05">
        <w:rPr>
          <w:rFonts w:ascii="Century" w:hAnsi="Century" w:cs="FrankRuehl"/>
          <w:spacing w:val="10"/>
          <w:sz w:val="22"/>
          <w:szCs w:val="28"/>
          <w:rtl/>
        </w:rPr>
        <w:t xml:space="preserve"> האישיים;</w:t>
      </w:r>
    </w:p>
    <w:p w:rsidR="00814BEB" w:rsidRPr="004E1C05" w:rsidRDefault="00814BEB" w:rsidP="00814BEB">
      <w:pPr>
        <w:ind w:left="1644" w:right="1276"/>
        <w:jc w:val="both"/>
        <w:rPr>
          <w:rFonts w:ascii="Century" w:hAnsi="Century" w:cs="FrankRuehl"/>
          <w:spacing w:val="10"/>
          <w:sz w:val="22"/>
          <w:szCs w:val="28"/>
          <w:rtl/>
        </w:rPr>
      </w:pPr>
      <w:r w:rsidRPr="004E1C05">
        <w:rPr>
          <w:rFonts w:ascii="Century" w:hAnsi="Century" w:cs="FrankRuehl"/>
          <w:spacing w:val="10"/>
          <w:sz w:val="22"/>
          <w:szCs w:val="28"/>
          <w:rtl/>
        </w:rPr>
        <w:t>(2) יימנע מכל פעולה שיש בה תחרות עם עסקי החברה;</w:t>
      </w:r>
    </w:p>
    <w:p w:rsidR="00814BEB" w:rsidRPr="004E1C05" w:rsidRDefault="00814BEB" w:rsidP="00814BEB">
      <w:pPr>
        <w:ind w:left="1644" w:right="1276"/>
        <w:jc w:val="both"/>
        <w:rPr>
          <w:rFonts w:ascii="Century" w:hAnsi="Century" w:cs="FrankRuehl"/>
          <w:spacing w:val="10"/>
          <w:sz w:val="22"/>
          <w:szCs w:val="28"/>
          <w:rtl/>
        </w:rPr>
      </w:pPr>
      <w:r w:rsidRPr="004E1C05">
        <w:rPr>
          <w:rFonts w:ascii="Century" w:hAnsi="Century" w:cs="FrankRuehl"/>
          <w:spacing w:val="10"/>
          <w:sz w:val="22"/>
          <w:szCs w:val="28"/>
          <w:rtl/>
        </w:rPr>
        <w:t>(3)</w:t>
      </w:r>
      <w:r w:rsidRPr="004E1C05">
        <w:rPr>
          <w:rFonts w:ascii="Century" w:hAnsi="Century" w:cs="FrankRuehl" w:hint="cs"/>
          <w:spacing w:val="10"/>
          <w:sz w:val="22"/>
          <w:szCs w:val="28"/>
          <w:rtl/>
        </w:rPr>
        <w:t xml:space="preserve"> </w:t>
      </w:r>
      <w:r w:rsidRPr="004E1C05">
        <w:rPr>
          <w:rFonts w:ascii="Century" w:hAnsi="Century" w:cs="FrankRuehl"/>
          <w:spacing w:val="10"/>
          <w:sz w:val="22"/>
          <w:szCs w:val="28"/>
          <w:rtl/>
        </w:rPr>
        <w:t>יימנע מניצול הזדמנות עסקית של החברה במטרה להשיג טובת הנאה לעצמו או לאחר;</w:t>
      </w:r>
    </w:p>
    <w:p w:rsidR="00814BEB" w:rsidRPr="004E1C05" w:rsidRDefault="00814BEB" w:rsidP="00814BEB">
      <w:pPr>
        <w:ind w:left="1644" w:right="1276"/>
        <w:jc w:val="both"/>
        <w:rPr>
          <w:rFonts w:ascii="Century" w:hAnsi="Century" w:cs="FrankRuehl"/>
          <w:spacing w:val="10"/>
          <w:sz w:val="22"/>
          <w:szCs w:val="28"/>
          <w:rtl/>
        </w:rPr>
      </w:pPr>
      <w:r w:rsidRPr="004E1C05">
        <w:rPr>
          <w:rFonts w:ascii="Century" w:hAnsi="Century" w:cs="FrankRuehl"/>
          <w:spacing w:val="10"/>
          <w:sz w:val="22"/>
          <w:szCs w:val="28"/>
          <w:rtl/>
        </w:rPr>
        <w:t xml:space="preserve">(4) יגלה לחברה כל ידיעה וימסור לה כל מסמך הנוגעים </w:t>
      </w:r>
      <w:proofErr w:type="spellStart"/>
      <w:r w:rsidRPr="004E1C05">
        <w:rPr>
          <w:rFonts w:ascii="Century" w:hAnsi="Century" w:cs="FrankRuehl"/>
          <w:spacing w:val="10"/>
          <w:sz w:val="22"/>
          <w:szCs w:val="28"/>
          <w:rtl/>
        </w:rPr>
        <w:t>לעניניה</w:t>
      </w:r>
      <w:proofErr w:type="spellEnd"/>
      <w:r w:rsidRPr="004E1C05">
        <w:rPr>
          <w:rFonts w:ascii="Century" w:hAnsi="Century" w:cs="FrankRuehl"/>
          <w:spacing w:val="10"/>
          <w:sz w:val="22"/>
          <w:szCs w:val="28"/>
          <w:rtl/>
        </w:rPr>
        <w:t>, שבאו לידיו בתוקף מעמדו בחברה.</w:t>
      </w:r>
    </w:p>
    <w:p w:rsidR="00814BEB" w:rsidRPr="004E1C05" w:rsidRDefault="00814BEB" w:rsidP="00814BEB">
      <w:pPr>
        <w:tabs>
          <w:tab w:val="left" w:pos="800"/>
        </w:tabs>
        <w:spacing w:line="360" w:lineRule="auto"/>
        <w:jc w:val="both"/>
        <w:rPr>
          <w:rFonts w:ascii="Century" w:hAnsi="Century" w:cs="FrankRuehl"/>
          <w:spacing w:val="10"/>
          <w:sz w:val="22"/>
          <w:szCs w:val="28"/>
          <w:rtl/>
        </w:rPr>
      </w:pPr>
    </w:p>
    <w:p w:rsidR="00814BEB" w:rsidRPr="004E1C05" w:rsidRDefault="00814BEB" w:rsidP="00814BEB">
      <w:pPr>
        <w:tabs>
          <w:tab w:val="left" w:pos="800"/>
        </w:tabs>
        <w:spacing w:line="360" w:lineRule="auto"/>
        <w:jc w:val="both"/>
        <w:rPr>
          <w:rFonts w:ascii="Century" w:hAnsi="Century" w:cs="FrankRuehl"/>
          <w:spacing w:val="10"/>
          <w:sz w:val="22"/>
          <w:szCs w:val="28"/>
          <w:rtl/>
        </w:rPr>
      </w:pPr>
      <w:r w:rsidRPr="004E1C05">
        <w:rPr>
          <w:rFonts w:ascii="Century" w:hAnsi="Century" w:cs="FrankRuehl"/>
          <w:spacing w:val="10"/>
          <w:sz w:val="22"/>
          <w:szCs w:val="28"/>
          <w:rtl/>
        </w:rPr>
        <w:tab/>
      </w:r>
      <w:r w:rsidRPr="004E1C05">
        <w:rPr>
          <w:rFonts w:ascii="Century" w:hAnsi="Century" w:cs="FrankRuehl" w:hint="cs"/>
          <w:spacing w:val="10"/>
          <w:sz w:val="22"/>
          <w:szCs w:val="28"/>
          <w:rtl/>
        </w:rPr>
        <w:t xml:space="preserve">וסעיף 425 לחוק העונשין, תשל"ז-1977 (להלן: </w:t>
      </w:r>
      <w:r w:rsidRPr="004E1C05">
        <w:rPr>
          <w:rFonts w:ascii="Century" w:hAnsi="Century" w:cs="Miriam" w:hint="cs"/>
          <w:b/>
          <w:sz w:val="22"/>
          <w:rtl/>
        </w:rPr>
        <w:t>חוק העונשין</w:t>
      </w:r>
      <w:r w:rsidRPr="004E1C05">
        <w:rPr>
          <w:rFonts w:ascii="Century" w:hAnsi="Century" w:cs="FrankRuehl" w:hint="cs"/>
          <w:spacing w:val="10"/>
          <w:sz w:val="22"/>
          <w:szCs w:val="28"/>
          <w:rtl/>
        </w:rPr>
        <w:t>) קובע כלהלן:</w:t>
      </w:r>
    </w:p>
    <w:p w:rsidR="00814BEB" w:rsidRPr="004E1C05" w:rsidRDefault="00814BEB" w:rsidP="00814BEB">
      <w:pPr>
        <w:ind w:left="1644" w:right="1276"/>
        <w:jc w:val="both"/>
        <w:rPr>
          <w:rFonts w:ascii="Century" w:hAnsi="Century" w:cs="FrankRuehl"/>
          <w:spacing w:val="10"/>
          <w:sz w:val="22"/>
          <w:szCs w:val="28"/>
          <w:rtl/>
        </w:rPr>
      </w:pPr>
    </w:p>
    <w:p w:rsidR="00814BEB" w:rsidRPr="004E1C05" w:rsidRDefault="00814BEB" w:rsidP="00814BEB">
      <w:pPr>
        <w:spacing w:line="276" w:lineRule="auto"/>
        <w:ind w:left="1644" w:right="1276"/>
        <w:jc w:val="both"/>
        <w:rPr>
          <w:rFonts w:ascii="Century" w:hAnsi="Century" w:cs="FrankRuehl"/>
          <w:spacing w:val="10"/>
          <w:sz w:val="22"/>
          <w:szCs w:val="28"/>
          <w:rtl/>
        </w:rPr>
      </w:pPr>
      <w:r w:rsidRPr="004E1C05">
        <w:rPr>
          <w:rFonts w:ascii="Century" w:hAnsi="Century" w:cs="Miriam" w:hint="cs"/>
          <w:b/>
          <w:sz w:val="22"/>
          <w:rtl/>
        </w:rPr>
        <w:t>מרמה והפרת אמונים בתאגיד</w:t>
      </w:r>
    </w:p>
    <w:p w:rsidR="00814BEB" w:rsidRPr="004E1C05" w:rsidRDefault="00814BEB" w:rsidP="00814BEB">
      <w:pPr>
        <w:ind w:left="1644" w:right="1276"/>
        <w:jc w:val="both"/>
        <w:rPr>
          <w:rFonts w:ascii="Century" w:hAnsi="Century" w:cs="FrankRuehl"/>
          <w:spacing w:val="10"/>
          <w:sz w:val="22"/>
          <w:szCs w:val="28"/>
          <w:rtl/>
        </w:rPr>
      </w:pPr>
      <w:r w:rsidRPr="004E1C05">
        <w:rPr>
          <w:rFonts w:ascii="Arial TUR" w:hAnsi="Arial TUR" w:cs="FrankRuehl" w:hint="cs"/>
          <w:spacing w:val="10"/>
          <w:sz w:val="22"/>
          <w:szCs w:val="28"/>
          <w:rtl/>
        </w:rPr>
        <w:t xml:space="preserve">425. </w:t>
      </w:r>
      <w:r w:rsidRPr="004E1C05">
        <w:rPr>
          <w:rFonts w:ascii="Arial TUR" w:hAnsi="Arial TUR" w:cs="FrankRuehl"/>
          <w:spacing w:val="10"/>
          <w:sz w:val="22"/>
          <w:szCs w:val="28"/>
          <w:rtl/>
        </w:rPr>
        <w:t xml:space="preserve">מנהל, מנהל עסקים או עובד אחר של תאגיד, או כונס נכסים, מפרק עסקים, מפרק עסקים זמני, מנהל נכסים או מנהל מיוחד של תאגיד, </w:t>
      </w:r>
      <w:r w:rsidRPr="004E1C05">
        <w:rPr>
          <w:rFonts w:ascii="Century" w:hAnsi="Century" w:cs="Miriam"/>
          <w:b/>
          <w:sz w:val="22"/>
          <w:rtl/>
        </w:rPr>
        <w:t>אשר נהג אגב מילוי תפקידו במרמה או בהפרת אמונים הפוגעת בתאגיד</w:t>
      </w:r>
      <w:r w:rsidRPr="004E1C05">
        <w:rPr>
          <w:rFonts w:ascii="Arial TUR" w:hAnsi="Arial TUR" w:cs="FrankRuehl"/>
          <w:spacing w:val="10"/>
          <w:sz w:val="22"/>
          <w:szCs w:val="28"/>
          <w:rtl/>
        </w:rPr>
        <w:t>, דינו - מאסר שלוש שנים</w:t>
      </w:r>
      <w:r w:rsidRPr="004E1C05">
        <w:rPr>
          <w:rFonts w:ascii="Arial TUR" w:hAnsi="Arial TUR" w:cs="FrankRuehl"/>
          <w:spacing w:val="10"/>
          <w:sz w:val="22"/>
          <w:szCs w:val="28"/>
        </w:rPr>
        <w:t>.</w:t>
      </w:r>
    </w:p>
    <w:p w:rsidR="00814BEB" w:rsidRPr="004E1C05" w:rsidRDefault="00814BEB" w:rsidP="00814BEB">
      <w:pPr>
        <w:tabs>
          <w:tab w:val="left" w:pos="800"/>
        </w:tabs>
        <w:spacing w:line="360" w:lineRule="auto"/>
        <w:jc w:val="both"/>
        <w:rPr>
          <w:rFonts w:ascii="Century" w:hAnsi="Century" w:cs="FrankRuehl"/>
          <w:spacing w:val="10"/>
          <w:sz w:val="22"/>
          <w:szCs w:val="28"/>
          <w:rtl/>
        </w:rPr>
      </w:pPr>
    </w:p>
    <w:p w:rsidR="00814BEB" w:rsidRPr="004E1C05" w:rsidRDefault="00814BEB" w:rsidP="00814BEB">
      <w:pPr>
        <w:tabs>
          <w:tab w:val="left" w:pos="800"/>
        </w:tabs>
        <w:spacing w:line="360" w:lineRule="auto"/>
        <w:ind w:firstLine="720"/>
        <w:jc w:val="both"/>
        <w:rPr>
          <w:rFonts w:ascii="Century" w:hAnsi="Century" w:cs="FrankRuehl"/>
          <w:spacing w:val="10"/>
          <w:sz w:val="22"/>
          <w:szCs w:val="28"/>
          <w:rtl/>
        </w:rPr>
      </w:pPr>
      <w:r w:rsidRPr="004E1C05">
        <w:rPr>
          <w:rFonts w:ascii="Century" w:hAnsi="Century" w:cs="FrankRuehl" w:hint="cs"/>
          <w:spacing w:val="10"/>
          <w:sz w:val="22"/>
          <w:szCs w:val="28"/>
          <w:rtl/>
        </w:rPr>
        <w:t xml:space="preserve">סעיף 425 לחוק העונשין שואב אפוא מתוך הנורמות של הפרת אמונים לפי סעיף 254 לחוק החברות, הגם שאין בהכרח אימוץ מלא של הנורמה האזרחית לתוך הנורמה הפלילית. ובקיצור, הפרה של חובת האמון של נושא משרה בתאגיד, עשויה בהחלט להיתפס ברשתו של הדין הפלילי. </w:t>
      </w:r>
    </w:p>
    <w:p w:rsidR="00814BEB" w:rsidRPr="004E1C05" w:rsidRDefault="00814BEB" w:rsidP="00814BEB">
      <w:pPr>
        <w:tabs>
          <w:tab w:val="left" w:pos="800"/>
        </w:tabs>
        <w:spacing w:line="360" w:lineRule="auto"/>
        <w:ind w:firstLine="720"/>
        <w:jc w:val="both"/>
        <w:rPr>
          <w:rFonts w:ascii="Century" w:hAnsi="Century" w:cs="FrankRuehl"/>
          <w:spacing w:val="10"/>
          <w:sz w:val="22"/>
          <w:szCs w:val="28"/>
          <w:rtl/>
        </w:rPr>
      </w:pPr>
    </w:p>
    <w:p w:rsidR="00814BEB" w:rsidRPr="004E1C05" w:rsidRDefault="00814BEB" w:rsidP="00814BEB">
      <w:pPr>
        <w:tabs>
          <w:tab w:val="left" w:pos="800"/>
        </w:tabs>
        <w:spacing w:line="360" w:lineRule="auto"/>
        <w:jc w:val="both"/>
        <w:rPr>
          <w:rFonts w:ascii="Century" w:hAnsi="Century" w:cs="FrankRuehl"/>
          <w:spacing w:val="10"/>
          <w:sz w:val="22"/>
          <w:szCs w:val="28"/>
          <w:rtl/>
        </w:rPr>
      </w:pPr>
      <w:r w:rsidRPr="004E1C05">
        <w:rPr>
          <w:rFonts w:ascii="Century" w:hAnsi="Century" w:cs="FrankRuehl" w:hint="cs"/>
          <w:spacing w:val="10"/>
          <w:sz w:val="22"/>
          <w:szCs w:val="28"/>
          <w:rtl/>
        </w:rPr>
        <w:t>4.</w:t>
      </w:r>
      <w:r w:rsidRPr="004E1C05">
        <w:rPr>
          <w:rFonts w:ascii="Century" w:hAnsi="Century" w:cs="FrankRuehl" w:hint="cs"/>
          <w:spacing w:val="10"/>
          <w:sz w:val="22"/>
          <w:szCs w:val="28"/>
          <w:rtl/>
        </w:rPr>
        <w:tab/>
        <w:t xml:space="preserve">בית משפט קמא נתן משקל לכך שהוועדה הבלתי תלויה שהוקמה לבחינת העסקאות היא גוף </w:t>
      </w:r>
      <w:proofErr w:type="spellStart"/>
      <w:r w:rsidRPr="004E1C05">
        <w:rPr>
          <w:rFonts w:ascii="Century" w:hAnsi="Century" w:cs="FrankRuehl" w:hint="cs"/>
          <w:spacing w:val="10"/>
          <w:sz w:val="22"/>
          <w:szCs w:val="28"/>
          <w:rtl/>
        </w:rPr>
        <w:t>וולנטארי</w:t>
      </w:r>
      <w:proofErr w:type="spellEnd"/>
      <w:r w:rsidRPr="004E1C05">
        <w:rPr>
          <w:rFonts w:ascii="Century" w:hAnsi="Century" w:cs="FrankRuehl" w:hint="cs"/>
          <w:spacing w:val="10"/>
          <w:sz w:val="22"/>
          <w:szCs w:val="28"/>
          <w:rtl/>
        </w:rPr>
        <w:t xml:space="preserve"> ולכך שניגוד העניינים של המשיבים היה גלוי וידוע. לטעמי, דווקא בכך יש כדי </w:t>
      </w:r>
      <w:r w:rsidRPr="004E1C05">
        <w:rPr>
          <w:rFonts w:ascii="Century" w:hAnsi="Century" w:cs="Miriam" w:hint="cs"/>
          <w:b/>
          <w:sz w:val="22"/>
          <w:rtl/>
        </w:rPr>
        <w:t>לחזק</w:t>
      </w:r>
      <w:r w:rsidRPr="004E1C05">
        <w:rPr>
          <w:rFonts w:ascii="Century" w:hAnsi="Century" w:cs="FrankRuehl" w:hint="cs"/>
          <w:spacing w:val="10"/>
          <w:sz w:val="22"/>
          <w:szCs w:val="28"/>
          <w:rtl/>
        </w:rPr>
        <w:t xml:space="preserve"> את ההיבט של הפרת האמונים. "תופעת ההפרדה בין הבעלות לשליטה והפיזור הרב של המניות גורמים לכך שאמצעים מסורתיים של דיני חברות והאספה של בעלי המניות אינם מספקים פיקוח הולם על מעשיהם של מנהלים" (</w:t>
      </w:r>
      <w:r w:rsidRPr="004E1C05">
        <w:rPr>
          <w:rFonts w:ascii="Century" w:hAnsi="Century" w:cs="FrankRuehl" w:hint="eastAsia"/>
          <w:spacing w:val="10"/>
          <w:sz w:val="22"/>
          <w:szCs w:val="28"/>
          <w:rtl/>
        </w:rPr>
        <w:t>יובל</w:t>
      </w:r>
      <w:r w:rsidRPr="004E1C05">
        <w:rPr>
          <w:rFonts w:ascii="Century" w:hAnsi="Century" w:cs="FrankRuehl"/>
          <w:spacing w:val="10"/>
          <w:sz w:val="22"/>
          <w:szCs w:val="28"/>
          <w:rtl/>
        </w:rPr>
        <w:t xml:space="preserve"> </w:t>
      </w:r>
      <w:proofErr w:type="spellStart"/>
      <w:r w:rsidRPr="004E1C05">
        <w:rPr>
          <w:rFonts w:ascii="Century" w:hAnsi="Century" w:cs="FrankRuehl" w:hint="eastAsia"/>
          <w:spacing w:val="10"/>
          <w:sz w:val="22"/>
          <w:szCs w:val="28"/>
          <w:rtl/>
        </w:rPr>
        <w:t>קרניא</w:t>
      </w:r>
      <w:r w:rsidRPr="004E1C05">
        <w:rPr>
          <w:rFonts w:ascii="Century" w:hAnsi="Century" w:cs="FrankRuehl" w:hint="cs"/>
          <w:spacing w:val="10"/>
          <w:sz w:val="22"/>
          <w:szCs w:val="28"/>
          <w:rtl/>
        </w:rPr>
        <w:t>ל</w:t>
      </w:r>
      <w:proofErr w:type="spellEnd"/>
      <w:r w:rsidRPr="004E1C05">
        <w:rPr>
          <w:rFonts w:ascii="Century" w:hAnsi="Century" w:cs="FrankRuehl" w:hint="cs"/>
          <w:spacing w:val="10"/>
          <w:sz w:val="22"/>
          <w:szCs w:val="28"/>
          <w:rtl/>
        </w:rPr>
        <w:t xml:space="preserve"> </w:t>
      </w:r>
      <w:r w:rsidRPr="004E1C05">
        <w:rPr>
          <w:rFonts w:ascii="Century" w:hAnsi="Century" w:cs="Miriam" w:hint="eastAsia"/>
          <w:b/>
          <w:sz w:val="22"/>
          <w:rtl/>
        </w:rPr>
        <w:t>הפרת</w:t>
      </w:r>
      <w:r w:rsidRPr="004E1C05">
        <w:rPr>
          <w:rFonts w:ascii="Century" w:hAnsi="Century" w:cs="Miriam"/>
          <w:b/>
          <w:sz w:val="22"/>
          <w:rtl/>
        </w:rPr>
        <w:t xml:space="preserve"> </w:t>
      </w:r>
      <w:r w:rsidRPr="004E1C05">
        <w:rPr>
          <w:rFonts w:ascii="Century" w:hAnsi="Century" w:cs="Miriam" w:hint="eastAsia"/>
          <w:b/>
          <w:sz w:val="22"/>
          <w:rtl/>
        </w:rPr>
        <w:t>אמונים</w:t>
      </w:r>
      <w:r w:rsidRPr="004E1C05">
        <w:rPr>
          <w:rFonts w:ascii="Century" w:hAnsi="Century" w:cs="Miriam"/>
          <w:b/>
          <w:sz w:val="22"/>
          <w:rtl/>
        </w:rPr>
        <w:t xml:space="preserve"> </w:t>
      </w:r>
      <w:r w:rsidRPr="004E1C05">
        <w:rPr>
          <w:rFonts w:ascii="Century" w:hAnsi="Century" w:cs="Miriam" w:hint="eastAsia"/>
          <w:b/>
          <w:sz w:val="22"/>
          <w:rtl/>
        </w:rPr>
        <w:t>בתאגיד</w:t>
      </w:r>
      <w:r w:rsidRPr="004E1C05">
        <w:rPr>
          <w:rFonts w:ascii="Century" w:hAnsi="Century" w:cs="Miriam"/>
          <w:b/>
          <w:sz w:val="22"/>
          <w:rtl/>
        </w:rPr>
        <w:t xml:space="preserve"> </w:t>
      </w:r>
      <w:r w:rsidRPr="004E1C05">
        <w:rPr>
          <w:rFonts w:ascii="Century" w:hAnsi="Century" w:cs="Miriam" w:hint="eastAsia"/>
          <w:b/>
          <w:sz w:val="22"/>
          <w:rtl/>
        </w:rPr>
        <w:t>במשפט</w:t>
      </w:r>
      <w:r w:rsidRPr="004E1C05">
        <w:rPr>
          <w:rFonts w:ascii="Century" w:hAnsi="Century" w:cs="Miriam"/>
          <w:b/>
          <w:sz w:val="22"/>
          <w:rtl/>
        </w:rPr>
        <w:t xml:space="preserve"> </w:t>
      </w:r>
      <w:r w:rsidRPr="004E1C05">
        <w:rPr>
          <w:rFonts w:ascii="Century" w:hAnsi="Century" w:cs="Miriam" w:hint="eastAsia"/>
          <w:b/>
          <w:sz w:val="22"/>
          <w:rtl/>
        </w:rPr>
        <w:t>האזרחי</w:t>
      </w:r>
      <w:r w:rsidRPr="004E1C05">
        <w:rPr>
          <w:rFonts w:ascii="Century" w:hAnsi="Century" w:cs="Miriam"/>
          <w:b/>
          <w:sz w:val="22"/>
          <w:rtl/>
        </w:rPr>
        <w:t xml:space="preserve"> </w:t>
      </w:r>
      <w:r w:rsidRPr="004E1C05">
        <w:rPr>
          <w:rFonts w:ascii="Century" w:hAnsi="Century" w:cs="Miriam" w:hint="eastAsia"/>
          <w:b/>
          <w:sz w:val="22"/>
          <w:rtl/>
        </w:rPr>
        <w:t>והפלילי</w:t>
      </w:r>
      <w:r w:rsidRPr="004E1C05">
        <w:rPr>
          <w:rFonts w:ascii="Century" w:hAnsi="Century" w:cs="FrankRuehl"/>
          <w:spacing w:val="10"/>
          <w:sz w:val="22"/>
          <w:szCs w:val="28"/>
          <w:rtl/>
        </w:rPr>
        <w:t xml:space="preserve"> 198</w:t>
      </w:r>
      <w:r w:rsidRPr="004E1C05">
        <w:rPr>
          <w:rFonts w:ascii="Century" w:hAnsi="Century" w:cs="FrankRuehl" w:hint="cs"/>
          <w:spacing w:val="10"/>
          <w:sz w:val="22"/>
          <w:szCs w:val="28"/>
          <w:rtl/>
        </w:rPr>
        <w:t xml:space="preserve"> </w:t>
      </w:r>
      <w:r w:rsidRPr="004E1C05">
        <w:rPr>
          <w:rFonts w:ascii="Century" w:hAnsi="Century" w:cs="FrankRuehl"/>
          <w:spacing w:val="10"/>
          <w:sz w:val="22"/>
          <w:szCs w:val="28"/>
          <w:rtl/>
        </w:rPr>
        <w:t>(2001) (</w:t>
      </w:r>
      <w:r w:rsidRPr="004E1C05">
        <w:rPr>
          <w:rFonts w:ascii="Century" w:hAnsi="Century" w:cs="FrankRuehl" w:hint="eastAsia"/>
          <w:spacing w:val="10"/>
          <w:sz w:val="22"/>
          <w:szCs w:val="28"/>
          <w:rtl/>
        </w:rPr>
        <w:t>להלן</w:t>
      </w:r>
      <w:r w:rsidRPr="004E1C05">
        <w:rPr>
          <w:rFonts w:ascii="Century" w:hAnsi="Century" w:cs="FrankRuehl"/>
          <w:spacing w:val="10"/>
          <w:sz w:val="22"/>
          <w:szCs w:val="28"/>
          <w:rtl/>
        </w:rPr>
        <w:t xml:space="preserve">: </w:t>
      </w:r>
      <w:proofErr w:type="spellStart"/>
      <w:r w:rsidRPr="004E1C05">
        <w:rPr>
          <w:rFonts w:ascii="Century" w:hAnsi="Century" w:cs="Miriam" w:hint="eastAsia"/>
          <w:b/>
          <w:sz w:val="22"/>
          <w:rtl/>
        </w:rPr>
        <w:t>קרניאל</w:t>
      </w:r>
      <w:proofErr w:type="spellEnd"/>
      <w:r w:rsidRPr="004E1C05">
        <w:rPr>
          <w:rFonts w:ascii="Century" w:hAnsi="Century" w:cs="FrankRuehl"/>
          <w:spacing w:val="10"/>
          <w:sz w:val="22"/>
          <w:szCs w:val="28"/>
          <w:rtl/>
        </w:rPr>
        <w:t>)</w:t>
      </w:r>
      <w:r w:rsidRPr="004E1C05">
        <w:rPr>
          <w:rFonts w:ascii="Century" w:hAnsi="Century" w:cs="FrankRuehl" w:hint="cs"/>
          <w:spacing w:val="10"/>
          <w:sz w:val="22"/>
          <w:szCs w:val="28"/>
          <w:rtl/>
        </w:rPr>
        <w:t>)</w:t>
      </w:r>
      <w:r w:rsidRPr="004E1C05">
        <w:rPr>
          <w:rFonts w:ascii="Century" w:hAnsi="Century" w:cs="FrankRuehl"/>
          <w:spacing w:val="10"/>
          <w:sz w:val="22"/>
          <w:szCs w:val="28"/>
          <w:rtl/>
        </w:rPr>
        <w:t xml:space="preserve">. </w:t>
      </w:r>
      <w:r w:rsidRPr="004E1C05">
        <w:rPr>
          <w:rFonts w:ascii="Century" w:hAnsi="Century" w:cs="FrankRuehl" w:hint="cs"/>
          <w:spacing w:val="10"/>
          <w:sz w:val="22"/>
          <w:szCs w:val="28"/>
          <w:rtl/>
        </w:rPr>
        <w:t xml:space="preserve">חברת בזק וחברת יס הכריזו בפני הציבור כי אינן מסתפקות באישור המשולש הקבוע בחוק החברות, ועל מנת </w:t>
      </w:r>
      <w:r w:rsidRPr="004E1C05">
        <w:rPr>
          <w:rFonts w:ascii="Century" w:hAnsi="Century" w:cs="Miriam" w:hint="cs"/>
          <w:b/>
          <w:sz w:val="22"/>
          <w:rtl/>
        </w:rPr>
        <w:t>לחזק</w:t>
      </w:r>
      <w:r w:rsidRPr="004E1C05">
        <w:rPr>
          <w:rFonts w:ascii="Century" w:hAnsi="Century" w:cs="FrankRuehl" w:hint="cs"/>
          <w:spacing w:val="10"/>
          <w:sz w:val="22"/>
          <w:szCs w:val="28"/>
          <w:rtl/>
        </w:rPr>
        <w:t xml:space="preserve"> את אמון הציבור בכשרותן של העסקאות נוכח ניגוד העניינים של בעלי השליטה הוקמה ועדה בלתי תלויה. על דלתה של הוועדה תלוי מעין שלט מאיר עיניים "ועדה זו הוקמה במטרה לנטרל את ניגוד העניינים המובנה". בפתח דלת הוועדה ניצב שומר שתפקידו לאסור על המשיבים את הכניסה על מנת לוודא כי "המידור" נשמר. לציבור בעלי המניות ברור כי המידור נדרש לנוכח ניגוד העניינים </w:t>
      </w:r>
      <w:r w:rsidRPr="004E1C05">
        <w:rPr>
          <w:rFonts w:ascii="Century" w:hAnsi="Century" w:cs="FrankRuehl" w:hint="cs"/>
          <w:spacing w:val="10"/>
          <w:sz w:val="22"/>
          <w:szCs w:val="28"/>
          <w:rtl/>
        </w:rPr>
        <w:lastRenderedPageBreak/>
        <w:t>האינהרנטי שבו נמצאים המשיבים, על מנת לוודא ש</w:t>
      </w:r>
      <w:r w:rsidRPr="004E1C05">
        <w:rPr>
          <w:rFonts w:ascii="Arial TUR" w:hAnsi="Arial TUR" w:cs="FrankRuehl" w:hint="cs"/>
          <w:spacing w:val="10"/>
          <w:sz w:val="22"/>
          <w:szCs w:val="28"/>
          <w:rtl/>
        </w:rPr>
        <w:t xml:space="preserve">הליך המשא ומתן מתנהל באופן תקין המדמה עסקה בתנאי שוק. </w:t>
      </w:r>
      <w:r w:rsidRPr="004E1C05">
        <w:rPr>
          <w:rFonts w:ascii="Century" w:hAnsi="Century" w:cs="FrankRuehl" w:hint="cs"/>
          <w:spacing w:val="10"/>
          <w:sz w:val="22"/>
          <w:szCs w:val="28"/>
          <w:rtl/>
        </w:rPr>
        <w:t>בין שתי החברות ניצבת אפוא "חומה סינית" בדמות הוועדה הבלתי תלויה המפרידה ביניהן. העברת המידע אל המשיבים מתוך הוועדה הבלתי תלויה מקעקעת לכאורה את אותה "חומה סינית", היא עשויה לרוקן מתוכן את עבודתה של הוועדה, ולפגוע באמון הציבור שהסתמך על הקמת הוועדה כאינדיקציה לכך שהעסקאות נעשות בתנאי שוק של מוכר מרצון לקונה מרצון. כאשר ראובן הוא בעל השליטה בחברה א' ובעל השליטה גם בחברה ב', והאסטרטגיה העסקית והנתונים שבבסי</w:t>
      </w:r>
      <w:r>
        <w:rPr>
          <w:rFonts w:ascii="Century" w:hAnsi="Century" w:cs="FrankRuehl" w:hint="cs"/>
          <w:spacing w:val="10"/>
          <w:sz w:val="22"/>
          <w:szCs w:val="28"/>
          <w:rtl/>
        </w:rPr>
        <w:t>ס המשא ומתן של שתי החברות מונחים</w:t>
      </w:r>
      <w:r w:rsidRPr="004E1C05">
        <w:rPr>
          <w:rFonts w:ascii="Century" w:hAnsi="Century" w:cs="FrankRuehl" w:hint="cs"/>
          <w:spacing w:val="10"/>
          <w:sz w:val="22"/>
          <w:szCs w:val="28"/>
          <w:rtl/>
        </w:rPr>
        <w:t xml:space="preserve"> לפניו </w:t>
      </w:r>
      <w:r w:rsidRPr="004E1C05">
        <w:rPr>
          <w:rFonts w:ascii="Century" w:hAnsi="Century" w:cs="FrankRuehl"/>
          <w:spacing w:val="10"/>
          <w:sz w:val="22"/>
          <w:szCs w:val="28"/>
          <w:rtl/>
        </w:rPr>
        <w:t>–</w:t>
      </w:r>
      <w:r w:rsidRPr="004E1C05">
        <w:rPr>
          <w:rFonts w:ascii="Century" w:hAnsi="Century" w:cs="FrankRuehl" w:hint="cs"/>
          <w:spacing w:val="10"/>
          <w:sz w:val="22"/>
          <w:szCs w:val="28"/>
          <w:rtl/>
        </w:rPr>
        <w:t xml:space="preserve"> הדבר האחרון שניתן לומר הוא כי לפנינו הליך אשר מדמה עסקה בתנאי שוק. נהפוך הוא, לפנינו כשל שוק. ודוק: עצמאותה של הוועדה לא נפגעה, אך לפי הנטען בכתב האישום, דליפת המידע מתוך הוועדה פגעה במטרה שלשמה הוקמה מלכתחילה, ולעניין זה אין נפקא מינה אם המידע דלף תוך שימוש באמצעים טכנולוגיים או באמצעות "סוס טרויאני"-כביכול בדמותה של המשיבה 4.  </w:t>
      </w:r>
    </w:p>
    <w:p w:rsidR="00814BEB" w:rsidRPr="004E1C05" w:rsidRDefault="00814BEB" w:rsidP="00814BEB">
      <w:pPr>
        <w:tabs>
          <w:tab w:val="left" w:pos="800"/>
        </w:tabs>
        <w:spacing w:line="360" w:lineRule="auto"/>
        <w:ind w:firstLine="720"/>
        <w:jc w:val="both"/>
        <w:rPr>
          <w:rFonts w:ascii="Century" w:hAnsi="Century" w:cs="FrankRuehl"/>
          <w:spacing w:val="10"/>
          <w:sz w:val="22"/>
          <w:szCs w:val="28"/>
          <w:rtl/>
        </w:rPr>
      </w:pPr>
    </w:p>
    <w:p w:rsidR="00276030" w:rsidRPr="00814BEB" w:rsidRDefault="00814BEB" w:rsidP="00814BEB">
      <w:pPr>
        <w:tabs>
          <w:tab w:val="left" w:pos="800"/>
        </w:tabs>
        <w:spacing w:line="360" w:lineRule="auto"/>
        <w:jc w:val="both"/>
        <w:rPr>
          <w:rFonts w:ascii="Century" w:hAnsi="Century" w:cs="FrankRuehl"/>
          <w:spacing w:val="10"/>
          <w:sz w:val="22"/>
          <w:szCs w:val="28"/>
          <w:rtl/>
        </w:rPr>
      </w:pPr>
      <w:r w:rsidRPr="004E1C05">
        <w:rPr>
          <w:rFonts w:ascii="Century" w:hAnsi="Century" w:cs="FrankRuehl" w:hint="cs"/>
          <w:spacing w:val="10"/>
          <w:sz w:val="22"/>
          <w:szCs w:val="28"/>
          <w:rtl/>
        </w:rPr>
        <w:t>5.</w:t>
      </w:r>
      <w:r w:rsidRPr="004E1C05">
        <w:rPr>
          <w:rFonts w:ascii="Century" w:hAnsi="Century" w:cs="FrankRuehl" w:hint="cs"/>
          <w:spacing w:val="10"/>
          <w:sz w:val="22"/>
          <w:szCs w:val="28"/>
          <w:rtl/>
        </w:rPr>
        <w:tab/>
      </w:r>
      <w:r w:rsidRPr="00F66BE7">
        <w:rPr>
          <w:rFonts w:ascii="Century" w:hAnsi="Century" w:cs="FrankRuehl" w:hint="cs"/>
          <w:spacing w:val="10"/>
          <w:sz w:val="22"/>
          <w:szCs w:val="28"/>
          <w:rtl/>
        </w:rPr>
        <w:t xml:space="preserve">חובת האמון נובעת, בין היתר, מהפער בשליטה ובמידע שיש לבעל השליטה לעומת בעלי המניות בקרב הציבור. אכן, קשה להגדיר מראש מה להפרת אמונים פלילית ייחשב, אך הקושי לנסח בבהירות ובמדויק את כל האפשרויות והתרחישים האפשריים של הפרת אמונים בתאגיד, אינו צריך לרפות את ידינו. הקמת הוועדה נועדה לחזק את הכלים האזרחיים שהמחוקק העמיד כדי לנטרל מצב של ניגוד עניינים אינהרנטי ועל מנת להבטיח תנאי שוק חופשי ויעיל. אך כאשר כלי זה מרוקן מתוכנו על ידי שימוש במידע פנים, תוך הפרה לכאורית של חובת אמון ואפשרות של התעשרות של בעל השליטה תוך פגיעה אפשרית בבעלי המניות </w:t>
      </w:r>
      <w:r w:rsidRPr="00F66BE7">
        <w:rPr>
          <w:rFonts w:ascii="Century" w:hAnsi="Century" w:cs="FrankRuehl"/>
          <w:spacing w:val="10"/>
          <w:sz w:val="22"/>
          <w:szCs w:val="28"/>
          <w:rtl/>
        </w:rPr>
        <w:t>–</w:t>
      </w:r>
      <w:r w:rsidRPr="00F66BE7">
        <w:rPr>
          <w:rFonts w:ascii="Century" w:hAnsi="Century" w:cs="FrankRuehl" w:hint="cs"/>
          <w:spacing w:val="10"/>
          <w:sz w:val="22"/>
          <w:szCs w:val="28"/>
          <w:rtl/>
        </w:rPr>
        <w:t xml:space="preserve"> לפנינו פעילות לא רצויה מבחינה כלכלית, אשר פוגעת במבנה העסקה (השוו </w:t>
      </w:r>
      <w:proofErr w:type="spellStart"/>
      <w:r w:rsidRPr="00F66BE7">
        <w:rPr>
          <w:rFonts w:ascii="Century" w:hAnsi="Century" w:cs="Miriam" w:hint="cs"/>
          <w:spacing w:val="10"/>
          <w:sz w:val="22"/>
          <w:rtl/>
        </w:rPr>
        <w:t>קרניאל</w:t>
      </w:r>
      <w:proofErr w:type="spellEnd"/>
      <w:r w:rsidRPr="00F66BE7">
        <w:rPr>
          <w:rFonts w:ascii="Century" w:hAnsi="Century" w:cs="FrankRuehl" w:hint="cs"/>
          <w:spacing w:val="10"/>
          <w:sz w:val="22"/>
          <w:szCs w:val="28"/>
          <w:rtl/>
        </w:rPr>
        <w:t>, עמ' 306). לכן, ישנם מצבים שבהם צרכי הרתעה וגם שיקולים ערכיים-מוסריים וגינוי חברתי להתנהגות פסולה, מחייבים החמרת הסנקציה בדרך של הטלת אחריות פלילית. השאלה אם המקרה דנן נכנס בגדרם של מצבים אלו תתברר כאמור בגדרו של ההליך העיקרי.</w:t>
      </w:r>
    </w:p>
    <w:p w:rsidR="009D74B6" w:rsidRDefault="009D74B6" w:rsidP="009D74B6">
      <w:pPr>
        <w:pStyle w:val="Ruller41"/>
        <w:spacing w:line="240" w:lineRule="auto"/>
        <w:rPr>
          <w:rtl/>
        </w:rPr>
      </w:pPr>
    </w:p>
    <w:p w:rsidR="008E6FBF" w:rsidRDefault="008E6FBF" w:rsidP="009D74B6">
      <w:pPr>
        <w:pStyle w:val="Ruller41"/>
        <w:spacing w:line="240" w:lineRule="auto"/>
        <w:rPr>
          <w:rtl/>
        </w:rPr>
      </w:pPr>
    </w:p>
    <w:p w:rsidR="00B74F9F" w:rsidRDefault="00B74F9F" w:rsidP="009D74B6">
      <w:pPr>
        <w:pStyle w:val="Ruller41"/>
        <w:spacing w:line="240" w:lineRule="auto"/>
        <w:rPr>
          <w:rtl/>
        </w:rPr>
      </w:pPr>
    </w:p>
    <w:p w:rsidR="00A11452" w:rsidRDefault="00A11452" w:rsidP="009D74B6">
      <w:pPr>
        <w:pStyle w:val="Ruller41"/>
        <w:spacing w:line="240" w:lineRule="auto"/>
        <w:rPr>
          <w:rtl/>
        </w:rPr>
      </w:pPr>
    </w:p>
    <w:tbl>
      <w:tblPr>
        <w:bidiVisual/>
        <w:tblW w:w="0" w:type="auto"/>
        <w:tblLook w:val="01E0" w:firstRow="1" w:lastRow="1" w:firstColumn="1" w:lastColumn="1" w:noHBand="0" w:noVBand="0"/>
      </w:tblPr>
      <w:tblGrid>
        <w:gridCol w:w="2769"/>
        <w:gridCol w:w="2769"/>
        <w:gridCol w:w="2774"/>
      </w:tblGrid>
      <w:tr w:rsidR="009D74B6" w:rsidTr="001E0E67">
        <w:tc>
          <w:tcPr>
            <w:tcW w:w="2769" w:type="dxa"/>
            <w:shd w:val="clear" w:color="auto" w:fill="auto"/>
          </w:tcPr>
          <w:p w:rsidR="009D74B6" w:rsidRDefault="009D74B6" w:rsidP="001E0E67">
            <w:pPr>
              <w:pStyle w:val="Ruller41"/>
              <w:tabs>
                <w:tab w:val="clear" w:pos="800"/>
                <w:tab w:val="left" w:pos="3209"/>
                <w:tab w:val="left" w:pos="6753"/>
              </w:tabs>
              <w:jc w:val="left"/>
              <w:rPr>
                <w:rFonts w:ascii="Times New Roman" w:hAnsi="Times New Roman"/>
                <w:bCs/>
                <w:rtl/>
              </w:rPr>
            </w:pPr>
          </w:p>
        </w:tc>
        <w:tc>
          <w:tcPr>
            <w:tcW w:w="2769" w:type="dxa"/>
            <w:shd w:val="clear" w:color="auto" w:fill="auto"/>
          </w:tcPr>
          <w:p w:rsidR="009D74B6" w:rsidRDefault="009D74B6" w:rsidP="001E0E67">
            <w:pPr>
              <w:pStyle w:val="Ruller41"/>
              <w:tabs>
                <w:tab w:val="clear" w:pos="800"/>
                <w:tab w:val="left" w:pos="3209"/>
                <w:tab w:val="left" w:pos="6753"/>
              </w:tabs>
              <w:jc w:val="center"/>
              <w:rPr>
                <w:rFonts w:ascii="Times New Roman" w:hAnsi="Times New Roman"/>
                <w:bCs/>
                <w:rtl/>
              </w:rPr>
            </w:pPr>
          </w:p>
        </w:tc>
        <w:tc>
          <w:tcPr>
            <w:tcW w:w="2774" w:type="dxa"/>
            <w:shd w:val="clear" w:color="auto" w:fill="auto"/>
          </w:tcPr>
          <w:p w:rsidR="009D74B6" w:rsidRPr="00A60BAF" w:rsidRDefault="009D74B6" w:rsidP="00F66BE7">
            <w:pPr>
              <w:pStyle w:val="Ruller41"/>
              <w:tabs>
                <w:tab w:val="clear" w:pos="800"/>
                <w:tab w:val="left" w:pos="3209"/>
                <w:tab w:val="left" w:pos="6753"/>
              </w:tabs>
              <w:jc w:val="right"/>
              <w:rPr>
                <w:rFonts w:ascii="Times New Roman" w:hAnsi="Times New Roman"/>
                <w:b/>
                <w:rtl/>
              </w:rPr>
            </w:pPr>
            <w:r>
              <w:rPr>
                <w:rFonts w:ascii="Times New Roman" w:hAnsi="Times New Roman" w:hint="cs"/>
                <w:b/>
                <w:rtl/>
              </w:rPr>
              <w:t xml:space="preserve">        </w:t>
            </w:r>
            <w:r w:rsidRPr="00A60BAF">
              <w:rPr>
                <w:rFonts w:ascii="Times New Roman" w:hAnsi="Times New Roman" w:hint="cs"/>
                <w:b/>
                <w:rtl/>
              </w:rPr>
              <w:t>ש ו פ ט</w:t>
            </w:r>
          </w:p>
        </w:tc>
      </w:tr>
    </w:tbl>
    <w:p w:rsidR="008E6FBF" w:rsidRDefault="008E6FBF" w:rsidP="008A4DD4">
      <w:pPr>
        <w:pStyle w:val="Ruller41"/>
        <w:rPr>
          <w:rtl/>
        </w:rPr>
      </w:pPr>
    </w:p>
    <w:p w:rsidR="00B74F9F" w:rsidRDefault="00B74F9F" w:rsidP="008A4DD4">
      <w:pPr>
        <w:pStyle w:val="Ruller41"/>
        <w:rPr>
          <w:rtl/>
        </w:rPr>
      </w:pPr>
    </w:p>
    <w:p w:rsidR="00B74F9F" w:rsidRDefault="00B74F9F" w:rsidP="008A4DD4">
      <w:pPr>
        <w:pStyle w:val="Ruller41"/>
        <w:rPr>
          <w:rtl/>
        </w:rPr>
      </w:pPr>
    </w:p>
    <w:p w:rsidR="00BC37DA" w:rsidRPr="00503A3E" w:rsidRDefault="00BC37DA" w:rsidP="00E32514">
      <w:pPr>
        <w:pStyle w:val="BODYVERDICT"/>
        <w:keepNext/>
        <w:rPr>
          <w:rFonts w:cs="Miriam"/>
          <w:sz w:val="24"/>
          <w:szCs w:val="24"/>
          <w:u w:val="single"/>
          <w:rtl/>
        </w:rPr>
      </w:pPr>
      <w:r>
        <w:rPr>
          <w:rFonts w:cs="Miriam"/>
          <w:sz w:val="24"/>
          <w:szCs w:val="24"/>
          <w:u w:val="single"/>
          <w:rtl/>
        </w:rPr>
        <w:lastRenderedPageBreak/>
        <w:t>השופט</w:t>
      </w:r>
      <w:r>
        <w:rPr>
          <w:rFonts w:cs="Miriam" w:hint="cs"/>
          <w:sz w:val="24"/>
          <w:szCs w:val="24"/>
          <w:u w:val="single"/>
          <w:rtl/>
        </w:rPr>
        <w:t>ת</w:t>
      </w:r>
      <w:r>
        <w:rPr>
          <w:rFonts w:cs="Miriam"/>
          <w:sz w:val="24"/>
          <w:szCs w:val="24"/>
          <w:u w:val="single"/>
          <w:rtl/>
        </w:rPr>
        <w:t xml:space="preserve"> </w:t>
      </w:r>
      <w:r>
        <w:rPr>
          <w:rFonts w:cs="Miriam" w:hint="cs"/>
          <w:sz w:val="24"/>
          <w:szCs w:val="24"/>
          <w:u w:val="single"/>
          <w:rtl/>
        </w:rPr>
        <w:t>י</w:t>
      </w:r>
      <w:r>
        <w:rPr>
          <w:rFonts w:cs="Miriam"/>
          <w:sz w:val="24"/>
          <w:szCs w:val="24"/>
          <w:u w:val="single"/>
          <w:rtl/>
        </w:rPr>
        <w:t xml:space="preserve">' </w:t>
      </w:r>
      <w:proofErr w:type="spellStart"/>
      <w:r>
        <w:rPr>
          <w:rFonts w:cs="Miriam" w:hint="cs"/>
          <w:sz w:val="24"/>
          <w:szCs w:val="24"/>
          <w:u w:val="single"/>
          <w:rtl/>
        </w:rPr>
        <w:t>וילנר</w:t>
      </w:r>
      <w:proofErr w:type="spellEnd"/>
      <w:r>
        <w:rPr>
          <w:rFonts w:cs="Miriam"/>
          <w:sz w:val="24"/>
          <w:szCs w:val="24"/>
          <w:u w:val="single"/>
          <w:rtl/>
        </w:rPr>
        <w:t>:</w:t>
      </w:r>
    </w:p>
    <w:p w:rsidR="00BC37DA" w:rsidRDefault="00BC37DA" w:rsidP="00E32514">
      <w:pPr>
        <w:pStyle w:val="Ruller4"/>
        <w:keepNext/>
        <w:numPr>
          <w:ilvl w:val="0"/>
          <w:numId w:val="0"/>
        </w:numPr>
        <w:rPr>
          <w:rtl/>
        </w:rPr>
      </w:pPr>
    </w:p>
    <w:p w:rsidR="00276030" w:rsidRPr="00531BD3" w:rsidRDefault="00276030" w:rsidP="00E32514">
      <w:pPr>
        <w:pStyle w:val="Ruller41"/>
        <w:keepNext/>
      </w:pPr>
      <w:r>
        <w:rPr>
          <w:rtl/>
        </w:rPr>
        <w:tab/>
      </w:r>
      <w:r>
        <w:rPr>
          <w:rFonts w:hint="cs"/>
          <w:rtl/>
        </w:rPr>
        <w:t xml:space="preserve">אני מסכימה לחוות דעתו המקיפה של חברי השופט </w:t>
      </w:r>
      <w:r w:rsidRPr="00276030">
        <w:rPr>
          <w:rFonts w:ascii="Century" w:hAnsi="Century" w:cs="Miriam" w:hint="cs"/>
          <w:b/>
          <w:spacing w:val="0"/>
          <w:szCs w:val="24"/>
          <w:rtl/>
        </w:rPr>
        <w:t>ד' מינץ</w:t>
      </w:r>
      <w:r w:rsidRPr="00276030">
        <w:rPr>
          <w:rFonts w:hint="cs"/>
          <w:rtl/>
        </w:rPr>
        <w:t xml:space="preserve"> </w:t>
      </w:r>
      <w:r>
        <w:rPr>
          <w:rFonts w:hint="cs"/>
          <w:rtl/>
        </w:rPr>
        <w:t xml:space="preserve">ולהערותיו של חברי השופט </w:t>
      </w:r>
      <w:r w:rsidRPr="00276030">
        <w:rPr>
          <w:rFonts w:ascii="Century" w:hAnsi="Century" w:cs="Miriam" w:hint="cs"/>
          <w:b/>
          <w:spacing w:val="0"/>
          <w:szCs w:val="24"/>
          <w:rtl/>
        </w:rPr>
        <w:t>י' עמית</w:t>
      </w:r>
      <w:r>
        <w:rPr>
          <w:rFonts w:hint="cs"/>
          <w:rtl/>
        </w:rPr>
        <w:t>.</w:t>
      </w:r>
    </w:p>
    <w:p w:rsidR="009757FA" w:rsidRDefault="009757FA" w:rsidP="00A51FAE">
      <w:pPr>
        <w:pStyle w:val="Ruller41"/>
        <w:rPr>
          <w:rtl/>
        </w:rPr>
      </w:pPr>
    </w:p>
    <w:p w:rsidR="00E87C07" w:rsidRDefault="00E87C07" w:rsidP="00A51FAE">
      <w:pPr>
        <w:pStyle w:val="Ruller41"/>
        <w:rPr>
          <w:rtl/>
        </w:rPr>
      </w:pPr>
    </w:p>
    <w:p w:rsidR="00F66BE7" w:rsidRDefault="00F66BE7" w:rsidP="00A51FAE">
      <w:pPr>
        <w:pStyle w:val="Ruller41"/>
        <w:rPr>
          <w:rtl/>
        </w:rPr>
      </w:pPr>
    </w:p>
    <w:tbl>
      <w:tblPr>
        <w:bidiVisual/>
        <w:tblW w:w="0" w:type="auto"/>
        <w:tblLook w:val="01E0" w:firstRow="1" w:lastRow="1" w:firstColumn="1" w:lastColumn="1" w:noHBand="0" w:noVBand="0"/>
      </w:tblPr>
      <w:tblGrid>
        <w:gridCol w:w="2769"/>
        <w:gridCol w:w="2769"/>
        <w:gridCol w:w="2774"/>
      </w:tblGrid>
      <w:tr w:rsidR="009D74B6" w:rsidTr="001E0E67">
        <w:tc>
          <w:tcPr>
            <w:tcW w:w="2769" w:type="dxa"/>
            <w:shd w:val="clear" w:color="auto" w:fill="auto"/>
          </w:tcPr>
          <w:p w:rsidR="009D74B6" w:rsidRDefault="009D74B6" w:rsidP="001E0E67">
            <w:pPr>
              <w:pStyle w:val="Ruller41"/>
              <w:tabs>
                <w:tab w:val="clear" w:pos="800"/>
                <w:tab w:val="left" w:pos="3209"/>
                <w:tab w:val="left" w:pos="6753"/>
              </w:tabs>
              <w:jc w:val="left"/>
              <w:rPr>
                <w:rFonts w:ascii="Times New Roman" w:hAnsi="Times New Roman"/>
                <w:bCs/>
                <w:rtl/>
              </w:rPr>
            </w:pPr>
          </w:p>
        </w:tc>
        <w:tc>
          <w:tcPr>
            <w:tcW w:w="2769" w:type="dxa"/>
            <w:shd w:val="clear" w:color="auto" w:fill="auto"/>
          </w:tcPr>
          <w:p w:rsidR="009D74B6" w:rsidRDefault="009D74B6" w:rsidP="001E0E67">
            <w:pPr>
              <w:pStyle w:val="Ruller41"/>
              <w:tabs>
                <w:tab w:val="clear" w:pos="800"/>
                <w:tab w:val="left" w:pos="3209"/>
                <w:tab w:val="left" w:pos="6753"/>
              </w:tabs>
              <w:jc w:val="center"/>
              <w:rPr>
                <w:rFonts w:ascii="Times New Roman" w:hAnsi="Times New Roman"/>
                <w:bCs/>
                <w:rtl/>
              </w:rPr>
            </w:pPr>
          </w:p>
        </w:tc>
        <w:tc>
          <w:tcPr>
            <w:tcW w:w="2774" w:type="dxa"/>
            <w:shd w:val="clear" w:color="auto" w:fill="auto"/>
          </w:tcPr>
          <w:p w:rsidR="009D74B6" w:rsidRPr="00A60BAF" w:rsidRDefault="009D74B6" w:rsidP="00F66BE7">
            <w:pPr>
              <w:pStyle w:val="Ruller41"/>
              <w:tabs>
                <w:tab w:val="clear" w:pos="800"/>
                <w:tab w:val="left" w:pos="3209"/>
                <w:tab w:val="left" w:pos="6753"/>
              </w:tabs>
              <w:jc w:val="right"/>
              <w:rPr>
                <w:rFonts w:ascii="Times New Roman" w:hAnsi="Times New Roman"/>
                <w:b/>
                <w:rtl/>
              </w:rPr>
            </w:pPr>
            <w:r>
              <w:rPr>
                <w:rFonts w:ascii="Times New Roman" w:hAnsi="Times New Roman" w:hint="cs"/>
                <w:b/>
                <w:rtl/>
              </w:rPr>
              <w:t xml:space="preserve">        </w:t>
            </w:r>
            <w:r w:rsidRPr="00A60BAF">
              <w:rPr>
                <w:rFonts w:ascii="Times New Roman" w:hAnsi="Times New Roman" w:hint="cs"/>
                <w:b/>
                <w:rtl/>
              </w:rPr>
              <w:t>ש ו פ ט</w:t>
            </w:r>
            <w:r w:rsidR="00397D04">
              <w:rPr>
                <w:rFonts w:ascii="Times New Roman" w:hAnsi="Times New Roman" w:hint="cs"/>
                <w:b/>
                <w:rtl/>
              </w:rPr>
              <w:t xml:space="preserve"> ת</w:t>
            </w:r>
          </w:p>
        </w:tc>
      </w:tr>
    </w:tbl>
    <w:p w:rsidR="009D74B6" w:rsidRDefault="009D74B6" w:rsidP="00A51FAE">
      <w:pPr>
        <w:pStyle w:val="Ruller41"/>
        <w:rPr>
          <w:rtl/>
        </w:rPr>
      </w:pPr>
    </w:p>
    <w:p w:rsidR="00F66BE7" w:rsidRDefault="00F66BE7" w:rsidP="00A51FAE">
      <w:pPr>
        <w:pStyle w:val="Ruller41"/>
        <w:rPr>
          <w:rtl/>
        </w:rPr>
      </w:pPr>
    </w:p>
    <w:p w:rsidR="00F66BE7" w:rsidRDefault="00F66BE7" w:rsidP="00A51FAE">
      <w:pPr>
        <w:pStyle w:val="Ruller41"/>
        <w:rPr>
          <w:rtl/>
        </w:rPr>
      </w:pPr>
    </w:p>
    <w:p w:rsidR="00BC37DA" w:rsidRDefault="00BC37DA" w:rsidP="00814BEB">
      <w:pPr>
        <w:pStyle w:val="Ruller41"/>
        <w:rPr>
          <w:rtl/>
        </w:rPr>
      </w:pPr>
      <w:r>
        <w:rPr>
          <w:rtl/>
        </w:rPr>
        <w:tab/>
        <w:t xml:space="preserve">ניתן היום, </w:t>
      </w:r>
      <w:r>
        <w:rPr>
          <w:rFonts w:hint="eastAsia"/>
          <w:rtl/>
        </w:rPr>
        <w:t>‏כ</w:t>
      </w:r>
      <w:r>
        <w:rPr>
          <w:rtl/>
        </w:rPr>
        <w:t>"</w:t>
      </w:r>
      <w:r w:rsidR="00814BEB">
        <w:rPr>
          <w:rFonts w:hint="cs"/>
          <w:rtl/>
        </w:rPr>
        <w:t>ד</w:t>
      </w:r>
      <w:r>
        <w:rPr>
          <w:rtl/>
        </w:rPr>
        <w:t xml:space="preserve"> בתמוז </w:t>
      </w:r>
      <w:proofErr w:type="spellStart"/>
      <w:r>
        <w:rPr>
          <w:rtl/>
        </w:rPr>
        <w:t>התשפ"ג</w:t>
      </w:r>
      <w:proofErr w:type="spellEnd"/>
      <w:r>
        <w:rPr>
          <w:rtl/>
        </w:rPr>
        <w:t xml:space="preserve"> (</w:t>
      </w:r>
      <w:r>
        <w:rPr>
          <w:rFonts w:hint="eastAsia"/>
          <w:rtl/>
        </w:rPr>
        <w:t>‏</w:t>
      </w:r>
      <w:r w:rsidR="00814BEB">
        <w:rPr>
          <w:rFonts w:hint="cs"/>
          <w:rtl/>
        </w:rPr>
        <w:t>13</w:t>
      </w:r>
      <w:r>
        <w:rPr>
          <w:rtl/>
        </w:rPr>
        <w:t>.7.2023).</w:t>
      </w:r>
    </w:p>
    <w:p w:rsidR="00BC37DA" w:rsidRDefault="00BC37DA" w:rsidP="00A51FAE">
      <w:pPr>
        <w:pStyle w:val="Ruller41"/>
        <w:rPr>
          <w:rtl/>
        </w:rPr>
      </w:pPr>
    </w:p>
    <w:p w:rsidR="00B04130" w:rsidRPr="008A4DD4" w:rsidRDefault="00B04130" w:rsidP="00A51FAE">
      <w:pPr>
        <w:pStyle w:val="Ruller41"/>
        <w:rPr>
          <w:rtl/>
        </w:rPr>
      </w:pPr>
    </w:p>
    <w:p w:rsidR="009757FA" w:rsidRDefault="009757FA" w:rsidP="00A51FAE">
      <w:pPr>
        <w:pStyle w:val="Ruller41"/>
        <w:rPr>
          <w:rtl/>
        </w:rPr>
      </w:pPr>
    </w:p>
    <w:tbl>
      <w:tblPr>
        <w:bidiVisual/>
        <w:tblW w:w="8363" w:type="dxa"/>
        <w:tblLook w:val="01E0" w:firstRow="1" w:lastRow="1" w:firstColumn="1" w:lastColumn="1" w:noHBand="0" w:noVBand="0"/>
      </w:tblPr>
      <w:tblGrid>
        <w:gridCol w:w="2787"/>
        <w:gridCol w:w="2788"/>
        <w:gridCol w:w="2788"/>
      </w:tblGrid>
      <w:tr w:rsidR="001A0164" w:rsidTr="00D00B1D">
        <w:tc>
          <w:tcPr>
            <w:tcW w:w="2842" w:type="dxa"/>
            <w:shd w:val="clear" w:color="auto" w:fill="auto"/>
          </w:tcPr>
          <w:p w:rsidR="00016EF1" w:rsidRDefault="00E03615" w:rsidP="00A51FAE">
            <w:pPr>
              <w:pStyle w:val="Ruller41"/>
              <w:rPr>
                <w:rtl/>
              </w:rPr>
            </w:pPr>
            <w:r>
              <w:rPr>
                <w:rtl/>
              </w:rPr>
              <w:t>ש ו פ ט</w:t>
            </w:r>
          </w:p>
        </w:tc>
        <w:tc>
          <w:tcPr>
            <w:tcW w:w="2843" w:type="dxa"/>
            <w:shd w:val="clear" w:color="auto" w:fill="auto"/>
          </w:tcPr>
          <w:p w:rsidR="001A0164" w:rsidRDefault="00E03615" w:rsidP="00BA0B08">
            <w:pPr>
              <w:pStyle w:val="Ruller41"/>
              <w:jc w:val="center"/>
              <w:rPr>
                <w:rtl/>
              </w:rPr>
            </w:pPr>
            <w:r>
              <w:rPr>
                <w:rtl/>
              </w:rPr>
              <w:t>ש ו פ ט</w:t>
            </w:r>
          </w:p>
        </w:tc>
        <w:tc>
          <w:tcPr>
            <w:tcW w:w="2843" w:type="dxa"/>
            <w:shd w:val="clear" w:color="auto" w:fill="auto"/>
          </w:tcPr>
          <w:p w:rsidR="001A0164" w:rsidRDefault="00E03615" w:rsidP="008E6FBF">
            <w:pPr>
              <w:pStyle w:val="Ruller41"/>
              <w:jc w:val="right"/>
              <w:rPr>
                <w:rtl/>
              </w:rPr>
            </w:pPr>
            <w:r>
              <w:rPr>
                <w:rtl/>
              </w:rPr>
              <w:t>ש ו פ ט ת</w:t>
            </w:r>
          </w:p>
        </w:tc>
      </w:tr>
    </w:tbl>
    <w:p w:rsidR="00916FF8" w:rsidRDefault="00916FF8">
      <w:pPr>
        <w:rPr>
          <w:szCs w:val="16"/>
          <w:rtl/>
        </w:rPr>
      </w:pPr>
      <w:r>
        <w:rPr>
          <w:szCs w:val="16"/>
          <w:rtl/>
        </w:rPr>
        <w:t>_________________</w:t>
      </w:r>
      <w:r w:rsidR="00A12E0F">
        <w:rPr>
          <w:rFonts w:hint="cs"/>
          <w:szCs w:val="16"/>
          <w:rtl/>
        </w:rPr>
        <w:t>________</w:t>
      </w:r>
    </w:p>
    <w:p w:rsidR="00916FF8" w:rsidRDefault="00591983" w:rsidP="00B009CC">
      <w:pPr>
        <w:pStyle w:val="Ruller38"/>
        <w:rPr>
          <w:rtl/>
        </w:rPr>
      </w:pPr>
      <w:r>
        <w:rPr>
          <w:sz w:val="16"/>
        </w:rPr>
        <w:t xml:space="preserve"> </w:t>
      </w:r>
      <w:r w:rsidR="00A12E0F">
        <w:rPr>
          <w:sz w:val="16"/>
        </w:rPr>
        <w:t xml:space="preserve">  </w:t>
      </w:r>
      <w:r w:rsidR="00E03615">
        <w:rPr>
          <w:sz w:val="16"/>
        </w:rPr>
        <w:t xml:space="preserve">22059550_N09.docx   </w:t>
      </w:r>
      <w:r w:rsidR="00E03615">
        <w:rPr>
          <w:sz w:val="16"/>
          <w:rtl/>
        </w:rPr>
        <w:t>נו</w:t>
      </w:r>
    </w:p>
    <w:p w:rsidR="00591983" w:rsidRPr="00FC0252" w:rsidRDefault="00591983" w:rsidP="00FC0252">
      <w:pPr>
        <w:pStyle w:val="Ruller38"/>
        <w:rPr>
          <w:rtl/>
        </w:rPr>
      </w:pPr>
      <w:r>
        <w:rPr>
          <w:rtl/>
        </w:rPr>
        <w:t>מרכז מידע, טל'</w:t>
      </w:r>
      <w:r>
        <w:rPr>
          <w:rFonts w:hint="cs"/>
          <w:rtl/>
        </w:rPr>
        <w:t xml:space="preserve"> </w:t>
      </w:r>
      <w:r w:rsidR="00B63343">
        <w:rPr>
          <w:rFonts w:hint="cs"/>
          <w:rtl/>
        </w:rPr>
        <w:t>077</w:t>
      </w:r>
      <w:r>
        <w:rPr>
          <w:rFonts w:hint="cs"/>
          <w:rtl/>
        </w:rPr>
        <w:t>-</w:t>
      </w:r>
      <w:r w:rsidR="00B63343">
        <w:rPr>
          <w:rFonts w:hint="cs"/>
          <w:rtl/>
        </w:rPr>
        <w:t>270</w:t>
      </w:r>
      <w:r w:rsidR="00E21CA9">
        <w:rPr>
          <w:rFonts w:hint="cs"/>
          <w:rtl/>
        </w:rPr>
        <w:t>3</w:t>
      </w:r>
      <w:r w:rsidR="009B38DA">
        <w:rPr>
          <w:rFonts w:hint="cs"/>
          <w:rtl/>
        </w:rPr>
        <w:t>333</w:t>
      </w:r>
      <w:r w:rsidR="00866D0F">
        <w:rPr>
          <w:rFonts w:hint="cs"/>
          <w:rtl/>
        </w:rPr>
        <w:t>, 3852*</w:t>
      </w:r>
      <w:r>
        <w:rPr>
          <w:rFonts w:hint="cs"/>
          <w:rtl/>
        </w:rPr>
        <w:t xml:space="preserve"> ; אתר אינטרנט,  </w:t>
      </w:r>
      <w:hyperlink r:id="rId9" w:history="1">
        <w:r w:rsidR="00FC0252" w:rsidRPr="00BB4C68">
          <w:rPr>
            <w:rStyle w:val="Hyperlink"/>
            <w:sz w:val="16"/>
          </w:rPr>
          <w:t>https://supreme.court.gov.il</w:t>
        </w:r>
      </w:hyperlink>
    </w:p>
    <w:sectPr w:rsidR="00591983" w:rsidRPr="00FC0252" w:rsidSect="00591983">
      <w:headerReference w:type="even" r:id="rId10"/>
      <w:headerReference w:type="default" r:id="rId11"/>
      <w:footerReference w:type="even" r:id="rId12"/>
      <w:headerReference w:type="first" r:id="rId13"/>
      <w:footerReference w:type="first" r:id="rId14"/>
      <w:endnotePr>
        <w:numFmt w:val="lowerLetter"/>
      </w:endnotePr>
      <w:pgSz w:w="11906" w:h="16838" w:code="9"/>
      <w:pgMar w:top="1134" w:right="1797" w:bottom="1440" w:left="1797" w:header="567" w:footer="397" w:gutter="0"/>
      <w:cols w:space="720"/>
      <w:titlePg/>
      <w:bidi/>
      <w:rtlGutter/>
    </w:sectPr>
  </w:body>
</w:document>
</file>

<file path=word/customizations.xml><?xml version="1.0" encoding="utf-8"?>
<wne:tcg xmlns:r="http://schemas.openxmlformats.org/officeDocument/2006/relationships" xmlns:wne="http://schemas.microsoft.com/office/word/2006/wordml">
  <wne:keymaps>
    <wne:keymap wne:kcmPrimary="0433">
      <wne:acd wne:acdName="acd0"/>
    </wne:keymap>
    <wne:keymap wne:kcmPrimary="0434">
      <wne:acd wne:acdName="acd1"/>
    </wne:keymap>
    <wne:keymap wne:kcmPrimary="0435">
      <wne:acd wne:acdName="acd2"/>
    </wne:keymap>
  </wne:keymaps>
  <wne:toolbars>
    <wne:acdManifest>
      <wne:acdEntry wne:acdName="acd0"/>
      <wne:acdEntry wne:acdName="acd1"/>
      <wne:acdEntry wne:acdName="acd2"/>
    </wne:acdManifest>
    <wne:toolbarData r:id="rId1"/>
  </wne:toolbars>
  <wne:acds>
    <wne:acd wne:argValue="AgBSAHUAbABsAGUAcgAgADMA" wne:acdName="acd0" wne:fciIndexBasedOn="0065"/>
    <wne:acd wne:argValue="AgBSAHUAbABsAGUAcgA0AA==" wne:acdName="acd1" wne:fciIndexBasedOn="0065"/>
    <wne:acd wne:argValue="AgBSAHUAbABsAGUAcgA1AA==" wne:acdName="acd2"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F7512" w:rsidRDefault="007F7512">
      <w:r>
        <w:separator/>
      </w:r>
    </w:p>
  </w:endnote>
  <w:endnote w:type="continuationSeparator" w:id="0">
    <w:p w:rsidR="007F7512" w:rsidRDefault="007F75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Arial TUR">
    <w:charset w:val="00"/>
    <w:family w:val="swiss"/>
    <w:pitch w:val="variable"/>
    <w:sig w:usb0="E0002EFF" w:usb1="C000785B" w:usb2="00000009" w:usb3="00000000" w:csb0="000001FF" w:csb1="00000000"/>
  </w:font>
  <w:font w:name="DavidFix">
    <w:charset w:val="B1"/>
    <w:family w:val="auto"/>
    <w:pitch w:val="variable"/>
    <w:sig w:usb0="00001801" w:usb1="00000000" w:usb2="00000000" w:usb3="00000000" w:csb0="00000020" w:csb1="00000000"/>
  </w:font>
  <w:font w:name="Guttman Yad">
    <w:panose1 w:val="02010401010101010101"/>
    <w:charset w:val="B1"/>
    <w:family w:val="auto"/>
    <w:pitch w:val="variable"/>
    <w:sig w:usb0="00000801" w:usb1="40000000" w:usb2="00000000" w:usb3="00000000" w:csb0="00000020"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Miriam">
    <w:panose1 w:val="020B05020501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7102" w:rsidRDefault="00377102">
    <w:pPr>
      <w:pStyle w:val="a3"/>
      <w:framePr w:wrap="around" w:vAnchor="text" w:hAnchor="margin" w:xAlign="center" w:y="1"/>
      <w:rPr>
        <w:rStyle w:val="a5"/>
        <w:rtl/>
      </w:rPr>
    </w:pPr>
    <w:r>
      <w:rPr>
        <w:rStyle w:val="a5"/>
        <w:rtl/>
      </w:rPr>
      <w:fldChar w:fldCharType="begin"/>
    </w:r>
    <w:r>
      <w:rPr>
        <w:rStyle w:val="a5"/>
      </w:rPr>
      <w:instrText xml:space="preserve">PAGE  </w:instrText>
    </w:r>
    <w:r>
      <w:rPr>
        <w:rStyle w:val="a5"/>
        <w:rtl/>
      </w:rPr>
      <w:fldChar w:fldCharType="separate"/>
    </w:r>
    <w:r w:rsidR="00BC0E82">
      <w:rPr>
        <w:rStyle w:val="a5"/>
        <w:noProof/>
        <w:rtl/>
      </w:rPr>
      <w:t>1</w:t>
    </w:r>
    <w:r>
      <w:rPr>
        <w:rStyle w:val="a5"/>
        <w:rtl/>
      </w:rPr>
      <w:fldChar w:fldCharType="end"/>
    </w:r>
  </w:p>
  <w:p w:rsidR="00377102" w:rsidRDefault="00377102">
    <w:pPr>
      <w:pStyle w:val="a3"/>
      <w:rPr>
        <w:rtl/>
      </w:rPr>
    </w:pPr>
  </w:p>
  <w:p w:rsidR="00377102" w:rsidRDefault="00377102"/>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5B4D" w:rsidRPr="00F959DB" w:rsidRDefault="00045B4D" w:rsidP="00914156">
    <w:pPr>
      <w:pStyle w:val="a3"/>
      <w:bidi w:val="0"/>
      <w:jc w:val="right"/>
      <w:rPr>
        <w:sz w:val="16"/>
        <w:szCs w:val="16"/>
      </w:rPr>
    </w:pPr>
    <w:bookmarkStart w:id="6" w:name="footer_line"/>
    <w:bookmarkEnd w:id="6"/>
  </w:p>
  <w:p w:rsidR="00045B4D" w:rsidRDefault="00045B4D">
    <w:pPr>
      <w:pStyle w:val="a3"/>
      <w:rPr>
        <w:rtl/>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F7512" w:rsidRDefault="007F7512">
      <w:r>
        <w:separator/>
      </w:r>
    </w:p>
  </w:footnote>
  <w:footnote w:type="continuationSeparator" w:id="0">
    <w:p w:rsidR="007F7512" w:rsidRDefault="007F75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7102" w:rsidRDefault="00377102">
    <w:pPr>
      <w:pStyle w:val="a6"/>
      <w:framePr w:wrap="around" w:vAnchor="text" w:hAnchor="margin" w:xAlign="center" w:y="1"/>
      <w:rPr>
        <w:rStyle w:val="a5"/>
        <w:rtl/>
      </w:rPr>
    </w:pPr>
    <w:r>
      <w:rPr>
        <w:rStyle w:val="a5"/>
        <w:rtl/>
      </w:rPr>
      <w:fldChar w:fldCharType="begin"/>
    </w:r>
    <w:r>
      <w:rPr>
        <w:rStyle w:val="a5"/>
      </w:rPr>
      <w:instrText xml:space="preserve">PAGE  </w:instrText>
    </w:r>
    <w:r>
      <w:rPr>
        <w:rStyle w:val="a5"/>
        <w:rtl/>
      </w:rPr>
      <w:fldChar w:fldCharType="separate"/>
    </w:r>
    <w:r w:rsidR="00BC0E82">
      <w:rPr>
        <w:rStyle w:val="a5"/>
        <w:noProof/>
        <w:rtl/>
      </w:rPr>
      <w:t>1</w:t>
    </w:r>
    <w:r>
      <w:rPr>
        <w:rStyle w:val="a5"/>
        <w:rtl/>
      </w:rPr>
      <w:fldChar w:fldCharType="end"/>
    </w:r>
  </w:p>
  <w:p w:rsidR="00377102" w:rsidRDefault="00377102">
    <w:pPr>
      <w:pStyle w:val="a6"/>
      <w:rPr>
        <w:rtl/>
      </w:rPr>
    </w:pPr>
  </w:p>
  <w:p w:rsidR="00377102" w:rsidRDefault="0037710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7102" w:rsidRDefault="00377102">
    <w:pPr>
      <w:pStyle w:val="a6"/>
      <w:framePr w:wrap="around" w:vAnchor="text" w:hAnchor="margin" w:xAlign="center" w:y="1"/>
      <w:rPr>
        <w:rStyle w:val="a5"/>
        <w:rtl/>
      </w:rPr>
    </w:pPr>
    <w:r>
      <w:rPr>
        <w:rStyle w:val="a5"/>
        <w:rtl/>
      </w:rPr>
      <w:fldChar w:fldCharType="begin"/>
    </w:r>
    <w:r>
      <w:rPr>
        <w:rStyle w:val="a5"/>
      </w:rPr>
      <w:instrText xml:space="preserve">PAGE  </w:instrText>
    </w:r>
    <w:r>
      <w:rPr>
        <w:rStyle w:val="a5"/>
        <w:rtl/>
      </w:rPr>
      <w:fldChar w:fldCharType="separate"/>
    </w:r>
    <w:r w:rsidR="008605DA">
      <w:rPr>
        <w:rStyle w:val="a5"/>
        <w:noProof/>
        <w:rtl/>
      </w:rPr>
      <w:t>21</w:t>
    </w:r>
    <w:r>
      <w:rPr>
        <w:rStyle w:val="a5"/>
        <w:rtl/>
      </w:rPr>
      <w:fldChar w:fldCharType="end"/>
    </w:r>
  </w:p>
  <w:p w:rsidR="00377102" w:rsidRDefault="00377102">
    <w:pPr>
      <w:pStyle w:val="a6"/>
      <w:rPr>
        <w:rtl/>
      </w:rPr>
    </w:pPr>
  </w:p>
  <w:p w:rsidR="00377102" w:rsidRDefault="00377102"/>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8363" w:type="dxa"/>
      <w:tblLook w:val="0000" w:firstRow="0" w:lastRow="0" w:firstColumn="0" w:lastColumn="0" w:noHBand="0" w:noVBand="0"/>
    </w:tblPr>
    <w:tblGrid>
      <w:gridCol w:w="8363"/>
    </w:tblGrid>
    <w:tr w:rsidR="00045B4D" w:rsidTr="00EC23AC">
      <w:trPr>
        <w:trHeight w:val="342"/>
      </w:trPr>
      <w:tc>
        <w:tcPr>
          <w:tcW w:w="9828" w:type="dxa"/>
        </w:tcPr>
        <w:p w:rsidR="00377102" w:rsidRPr="002F7BB6" w:rsidRDefault="00EE3810" w:rsidP="00045B4D">
          <w:pPr>
            <w:pStyle w:val="Casenameintextbody"/>
            <w:jc w:val="center"/>
            <w:rPr>
              <w:u w:val="none"/>
              <w:rtl/>
            </w:rPr>
          </w:pPr>
          <w:r w:rsidRPr="002F7BB6">
            <w:rPr>
              <w:noProof/>
              <w:sz w:val="16"/>
              <w:szCs w:val="18"/>
              <w:u w:val="none"/>
              <w:rtl/>
            </w:rPr>
            <w:drawing>
              <wp:inline distT="0" distB="0" distL="0" distR="0">
                <wp:extent cx="464820" cy="449580"/>
                <wp:effectExtent l="0" t="0" r="0" b="7620"/>
                <wp:docPr id="1" name="תמונה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4820" cy="449580"/>
                        </a:xfrm>
                        <a:prstGeom prst="rect">
                          <a:avLst/>
                        </a:prstGeom>
                        <a:noFill/>
                        <a:ln>
                          <a:noFill/>
                        </a:ln>
                      </pic:spPr>
                    </pic:pic>
                  </a:graphicData>
                </a:graphic>
              </wp:inline>
            </w:drawing>
          </w:r>
        </w:p>
      </w:tc>
    </w:tr>
  </w:tbl>
  <w:p w:rsidR="00045B4D" w:rsidRDefault="00045B4D" w:rsidP="00045B4D">
    <w:pPr>
      <w:pStyle w:val="a6"/>
      <w:jc w:val="center"/>
      <w:rPr>
        <w:rt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77A4F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B8EE9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6485F0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830032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204653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1CCE6B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10264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21A091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7046C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B800B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A6001B"/>
    <w:multiLevelType w:val="hybridMultilevel"/>
    <w:tmpl w:val="41C0D6EC"/>
    <w:lvl w:ilvl="0" w:tplc="A854353A">
      <w:start w:val="1"/>
      <w:numFmt w:val="decimal"/>
      <w:pStyle w:val="Ruller4"/>
      <w:lvlText w:val="%1."/>
      <w:lvlJc w:val="left"/>
      <w:pPr>
        <w:tabs>
          <w:tab w:val="num" w:pos="907"/>
        </w:tabs>
        <w:ind w:left="0" w:firstLine="0"/>
      </w:pPr>
      <w:rPr>
        <w:rFonts w:hint="default"/>
        <w:b w:val="0"/>
        <w:bCs w:val="0"/>
        <w:lang w:val="en-US" w:bidi="he-IL"/>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9596496"/>
    <w:multiLevelType w:val="hybridMultilevel"/>
    <w:tmpl w:val="2ED2B184"/>
    <w:lvl w:ilvl="0" w:tplc="F4A89AA4">
      <w:start w:val="1"/>
      <w:numFmt w:val="hebrew1"/>
      <w:lvlText w:val="(%1)"/>
      <w:lvlJc w:val="left"/>
      <w:pPr>
        <w:ind w:left="1530" w:hanging="735"/>
      </w:pPr>
      <w:rPr>
        <w:rFonts w:hint="default"/>
      </w:rPr>
    </w:lvl>
    <w:lvl w:ilvl="1" w:tplc="04090019" w:tentative="1">
      <w:start w:val="1"/>
      <w:numFmt w:val="lowerLetter"/>
      <w:lvlText w:val="%2."/>
      <w:lvlJc w:val="left"/>
      <w:pPr>
        <w:ind w:left="1875" w:hanging="360"/>
      </w:pPr>
    </w:lvl>
    <w:lvl w:ilvl="2" w:tplc="0409001B" w:tentative="1">
      <w:start w:val="1"/>
      <w:numFmt w:val="lowerRoman"/>
      <w:lvlText w:val="%3."/>
      <w:lvlJc w:val="right"/>
      <w:pPr>
        <w:ind w:left="2595" w:hanging="180"/>
      </w:pPr>
    </w:lvl>
    <w:lvl w:ilvl="3" w:tplc="0409000F" w:tentative="1">
      <w:start w:val="1"/>
      <w:numFmt w:val="decimal"/>
      <w:lvlText w:val="%4."/>
      <w:lvlJc w:val="left"/>
      <w:pPr>
        <w:ind w:left="3315" w:hanging="360"/>
      </w:pPr>
    </w:lvl>
    <w:lvl w:ilvl="4" w:tplc="04090019" w:tentative="1">
      <w:start w:val="1"/>
      <w:numFmt w:val="lowerLetter"/>
      <w:lvlText w:val="%5."/>
      <w:lvlJc w:val="left"/>
      <w:pPr>
        <w:ind w:left="4035" w:hanging="360"/>
      </w:pPr>
    </w:lvl>
    <w:lvl w:ilvl="5" w:tplc="0409001B" w:tentative="1">
      <w:start w:val="1"/>
      <w:numFmt w:val="lowerRoman"/>
      <w:lvlText w:val="%6."/>
      <w:lvlJc w:val="right"/>
      <w:pPr>
        <w:ind w:left="4755" w:hanging="180"/>
      </w:pPr>
    </w:lvl>
    <w:lvl w:ilvl="6" w:tplc="0409000F" w:tentative="1">
      <w:start w:val="1"/>
      <w:numFmt w:val="decimal"/>
      <w:lvlText w:val="%7."/>
      <w:lvlJc w:val="left"/>
      <w:pPr>
        <w:ind w:left="5475" w:hanging="360"/>
      </w:pPr>
    </w:lvl>
    <w:lvl w:ilvl="7" w:tplc="04090019" w:tentative="1">
      <w:start w:val="1"/>
      <w:numFmt w:val="lowerLetter"/>
      <w:lvlText w:val="%8."/>
      <w:lvlJc w:val="left"/>
      <w:pPr>
        <w:ind w:left="6195" w:hanging="360"/>
      </w:pPr>
    </w:lvl>
    <w:lvl w:ilvl="8" w:tplc="0409001B" w:tentative="1">
      <w:start w:val="1"/>
      <w:numFmt w:val="lowerRoman"/>
      <w:lvlText w:val="%9."/>
      <w:lvlJc w:val="right"/>
      <w:pPr>
        <w:ind w:left="6915" w:hanging="180"/>
      </w:pPr>
    </w:lvl>
  </w:abstractNum>
  <w:abstractNum w:abstractNumId="12" w15:restartNumberingAfterBreak="0">
    <w:nsid w:val="3FE60BA1"/>
    <w:multiLevelType w:val="hybridMultilevel"/>
    <w:tmpl w:val="9440CCFA"/>
    <w:lvl w:ilvl="0" w:tplc="25B62924">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FE70B62"/>
    <w:multiLevelType w:val="hybridMultilevel"/>
    <w:tmpl w:val="ADA8711E"/>
    <w:lvl w:ilvl="0" w:tplc="DBB0A036">
      <w:start w:val="1"/>
      <w:numFmt w:val="hebrew1"/>
      <w:pStyle w:val="Ruller40"/>
      <w:lvlText w:val="%1."/>
      <w:lvlJc w:val="left"/>
      <w:pPr>
        <w:tabs>
          <w:tab w:val="num" w:pos="90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10"/>
  </w:num>
  <w:num w:numId="12">
    <w:abstractNumId w:val="13"/>
  </w:num>
  <w:num w:numId="13">
    <w:abstractNumId w:val="12"/>
  </w:num>
  <w:num w:numId="14">
    <w:abstractNumId w:val="10"/>
  </w:num>
  <w:num w:numId="15">
    <w:abstractNumId w:val="11"/>
  </w:num>
  <w:num w:numId="16">
    <w:abstractNumId w:val="10"/>
  </w:num>
  <w:num w:numId="17">
    <w:abstractNumId w:val="10"/>
  </w:num>
  <w:num w:numId="18">
    <w:abstractNumId w:val="10"/>
  </w:num>
  <w:num w:numId="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dit="forms" w:enforcement="0"/>
  <w:defaultTabStop w:val="720"/>
  <w:drawingGridHorizontalSpacing w:val="120"/>
  <w:drawingGridVerticalSpacing w:val="120"/>
  <w:displayVerticalDrawingGridEvery w:val="0"/>
  <w:doNotUseMarginsForDrawingGridOrigin/>
  <w:doNotShadeFormData/>
  <w:noPunctuationKerning/>
  <w:characterSpacingControl w:val="doNotCompress"/>
  <w:footnotePr>
    <w:footnote w:id="-1"/>
    <w:footnote w:id="0"/>
  </w:footnotePr>
  <w:endnotePr>
    <w:numFmt w:val="lowerLette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227"/>
    <w:rsid w:val="00016EF1"/>
    <w:rsid w:val="00026638"/>
    <w:rsid w:val="00032036"/>
    <w:rsid w:val="00036227"/>
    <w:rsid w:val="00044953"/>
    <w:rsid w:val="00045B4D"/>
    <w:rsid w:val="0005349E"/>
    <w:rsid w:val="000725F5"/>
    <w:rsid w:val="00072AD2"/>
    <w:rsid w:val="000A0364"/>
    <w:rsid w:val="000B1478"/>
    <w:rsid w:val="000C4690"/>
    <w:rsid w:val="000D25C4"/>
    <w:rsid w:val="00101B4E"/>
    <w:rsid w:val="00134A67"/>
    <w:rsid w:val="001A0164"/>
    <w:rsid w:val="001B0A30"/>
    <w:rsid w:val="00200D6B"/>
    <w:rsid w:val="0025130C"/>
    <w:rsid w:val="00265BB9"/>
    <w:rsid w:val="00265F6E"/>
    <w:rsid w:val="00266091"/>
    <w:rsid w:val="00276030"/>
    <w:rsid w:val="0028412B"/>
    <w:rsid w:val="002876BF"/>
    <w:rsid w:val="00292D98"/>
    <w:rsid w:val="002A4A7A"/>
    <w:rsid w:val="002A4BF3"/>
    <w:rsid w:val="002F7BB6"/>
    <w:rsid w:val="003066EA"/>
    <w:rsid w:val="003448B2"/>
    <w:rsid w:val="00356D3D"/>
    <w:rsid w:val="0036161C"/>
    <w:rsid w:val="00361DB2"/>
    <w:rsid w:val="0037622E"/>
    <w:rsid w:val="00376D5D"/>
    <w:rsid w:val="00377102"/>
    <w:rsid w:val="0039709B"/>
    <w:rsid w:val="00397D04"/>
    <w:rsid w:val="003D72DA"/>
    <w:rsid w:val="003D7B8B"/>
    <w:rsid w:val="003F1F97"/>
    <w:rsid w:val="0041048F"/>
    <w:rsid w:val="00437D59"/>
    <w:rsid w:val="004610A4"/>
    <w:rsid w:val="004A441C"/>
    <w:rsid w:val="004B29FF"/>
    <w:rsid w:val="004C3886"/>
    <w:rsid w:val="004C7868"/>
    <w:rsid w:val="004E1163"/>
    <w:rsid w:val="00503A3E"/>
    <w:rsid w:val="00527F02"/>
    <w:rsid w:val="0053204D"/>
    <w:rsid w:val="005462B9"/>
    <w:rsid w:val="00556449"/>
    <w:rsid w:val="005803E2"/>
    <w:rsid w:val="0058440A"/>
    <w:rsid w:val="00591983"/>
    <w:rsid w:val="005C1D5D"/>
    <w:rsid w:val="005F331F"/>
    <w:rsid w:val="00624A42"/>
    <w:rsid w:val="006276BF"/>
    <w:rsid w:val="006548E1"/>
    <w:rsid w:val="0065522F"/>
    <w:rsid w:val="006969CE"/>
    <w:rsid w:val="006A30F7"/>
    <w:rsid w:val="006A615F"/>
    <w:rsid w:val="006C42AD"/>
    <w:rsid w:val="006E1408"/>
    <w:rsid w:val="007132D1"/>
    <w:rsid w:val="00725345"/>
    <w:rsid w:val="00741CC0"/>
    <w:rsid w:val="007B512F"/>
    <w:rsid w:val="007F5495"/>
    <w:rsid w:val="007F5B96"/>
    <w:rsid w:val="007F7512"/>
    <w:rsid w:val="00807D13"/>
    <w:rsid w:val="00810894"/>
    <w:rsid w:val="008143AB"/>
    <w:rsid w:val="00814BEB"/>
    <w:rsid w:val="00831754"/>
    <w:rsid w:val="0083345F"/>
    <w:rsid w:val="00836667"/>
    <w:rsid w:val="008605DA"/>
    <w:rsid w:val="00866D0F"/>
    <w:rsid w:val="008A4DD4"/>
    <w:rsid w:val="008C2F11"/>
    <w:rsid w:val="008D78B9"/>
    <w:rsid w:val="008E3F85"/>
    <w:rsid w:val="008E6FBF"/>
    <w:rsid w:val="009051E8"/>
    <w:rsid w:val="00914156"/>
    <w:rsid w:val="00916FF8"/>
    <w:rsid w:val="00917043"/>
    <w:rsid w:val="00921A27"/>
    <w:rsid w:val="00922093"/>
    <w:rsid w:val="00930C85"/>
    <w:rsid w:val="009757FA"/>
    <w:rsid w:val="009A2321"/>
    <w:rsid w:val="009B38DA"/>
    <w:rsid w:val="009D74B6"/>
    <w:rsid w:val="009F2F53"/>
    <w:rsid w:val="009F4187"/>
    <w:rsid w:val="00A11452"/>
    <w:rsid w:val="00A12E0F"/>
    <w:rsid w:val="00A4380F"/>
    <w:rsid w:val="00A51FAE"/>
    <w:rsid w:val="00A80845"/>
    <w:rsid w:val="00AB69F7"/>
    <w:rsid w:val="00AD097B"/>
    <w:rsid w:val="00AD64B9"/>
    <w:rsid w:val="00AE022B"/>
    <w:rsid w:val="00B009CC"/>
    <w:rsid w:val="00B04130"/>
    <w:rsid w:val="00B0782A"/>
    <w:rsid w:val="00B15427"/>
    <w:rsid w:val="00B5640B"/>
    <w:rsid w:val="00B62B8C"/>
    <w:rsid w:val="00B63343"/>
    <w:rsid w:val="00B74F9F"/>
    <w:rsid w:val="00B87FF7"/>
    <w:rsid w:val="00BA0B08"/>
    <w:rsid w:val="00BC0E82"/>
    <w:rsid w:val="00BC37DA"/>
    <w:rsid w:val="00BD40F9"/>
    <w:rsid w:val="00BE326D"/>
    <w:rsid w:val="00BF2967"/>
    <w:rsid w:val="00C37B78"/>
    <w:rsid w:val="00C41C86"/>
    <w:rsid w:val="00C51158"/>
    <w:rsid w:val="00C63A6C"/>
    <w:rsid w:val="00CA13AF"/>
    <w:rsid w:val="00CA1444"/>
    <w:rsid w:val="00CB1590"/>
    <w:rsid w:val="00CB7600"/>
    <w:rsid w:val="00CC0D9B"/>
    <w:rsid w:val="00CC0E9D"/>
    <w:rsid w:val="00CC3639"/>
    <w:rsid w:val="00D00B1D"/>
    <w:rsid w:val="00D00CB7"/>
    <w:rsid w:val="00D25F16"/>
    <w:rsid w:val="00DC14F7"/>
    <w:rsid w:val="00E03615"/>
    <w:rsid w:val="00E21CA9"/>
    <w:rsid w:val="00E31063"/>
    <w:rsid w:val="00E32514"/>
    <w:rsid w:val="00E36FE9"/>
    <w:rsid w:val="00E73E98"/>
    <w:rsid w:val="00E75223"/>
    <w:rsid w:val="00E87C07"/>
    <w:rsid w:val="00E90D72"/>
    <w:rsid w:val="00EA0BE1"/>
    <w:rsid w:val="00EC23AC"/>
    <w:rsid w:val="00EC2992"/>
    <w:rsid w:val="00EC4560"/>
    <w:rsid w:val="00ED46A4"/>
    <w:rsid w:val="00ED6FD9"/>
    <w:rsid w:val="00EE3810"/>
    <w:rsid w:val="00EE465D"/>
    <w:rsid w:val="00F220B5"/>
    <w:rsid w:val="00F366A7"/>
    <w:rsid w:val="00F63C3B"/>
    <w:rsid w:val="00F63CC7"/>
    <w:rsid w:val="00F66BE7"/>
    <w:rsid w:val="00F959DB"/>
    <w:rsid w:val="00FB0052"/>
    <w:rsid w:val="00FC0252"/>
    <w:rsid w:val="00FF1AC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4EC5DE32-4FA5-4FDB-A27F-F8C28A33E2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bidi/>
      <w:adjustRightInd w:val="0"/>
      <w:textAlignment w:val="baseline"/>
    </w:pPr>
    <w:rPr>
      <w:rFonts w:cs="David"/>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uller3">
    <w:name w:val="Ruller 3"/>
    <w:basedOn w:val="a"/>
    <w:rsid w:val="00A51FAE"/>
    <w:pPr>
      <w:tabs>
        <w:tab w:val="left" w:pos="3210"/>
        <w:tab w:val="left" w:pos="6753"/>
      </w:tabs>
      <w:spacing w:line="360" w:lineRule="auto"/>
    </w:pPr>
    <w:rPr>
      <w:rFonts w:cs="FrankRuehl"/>
      <w:spacing w:val="10"/>
      <w:sz w:val="22"/>
      <w:szCs w:val="28"/>
    </w:rPr>
  </w:style>
  <w:style w:type="paragraph" w:customStyle="1" w:styleId="Pskdinhead">
    <w:name w:val="Pskdin head"/>
    <w:basedOn w:val="a"/>
    <w:pPr>
      <w:spacing w:line="360" w:lineRule="auto"/>
    </w:pPr>
    <w:rPr>
      <w:b/>
      <w:bCs/>
      <w:u w:val="single"/>
    </w:rPr>
  </w:style>
  <w:style w:type="paragraph" w:customStyle="1" w:styleId="FileNumber">
    <w:name w:val="File Number"/>
    <w:basedOn w:val="a"/>
    <w:pPr>
      <w:spacing w:line="360" w:lineRule="auto"/>
      <w:jc w:val="right"/>
    </w:pPr>
    <w:rPr>
      <w:bCs/>
    </w:rPr>
  </w:style>
  <w:style w:type="paragraph" w:customStyle="1" w:styleId="FirstpagestylePsakdin">
    <w:name w:val="First page style Psak din"/>
    <w:basedOn w:val="Ruller3"/>
    <w:pPr>
      <w:tabs>
        <w:tab w:val="clear" w:pos="3210"/>
        <w:tab w:val="left" w:pos="3209"/>
      </w:tabs>
    </w:pPr>
    <w:rPr>
      <w:bCs/>
    </w:rPr>
  </w:style>
  <w:style w:type="paragraph" w:customStyle="1" w:styleId="TyutaDate">
    <w:name w:val="Tyuta Date"/>
    <w:basedOn w:val="a"/>
    <w:pPr>
      <w:jc w:val="center"/>
    </w:pPr>
    <w:rPr>
      <w:b/>
      <w:bCs/>
      <w:i/>
      <w:iCs/>
      <w:sz w:val="28"/>
      <w:szCs w:val="28"/>
    </w:rPr>
  </w:style>
  <w:style w:type="paragraph" w:customStyle="1" w:styleId="DocumentHead">
    <w:name w:val="Document Head"/>
    <w:basedOn w:val="a"/>
    <w:pPr>
      <w:spacing w:line="360" w:lineRule="auto"/>
      <w:jc w:val="center"/>
    </w:pPr>
    <w:rPr>
      <w:bCs/>
      <w:spacing w:val="30"/>
      <w:szCs w:val="28"/>
      <w:u w:val="single"/>
    </w:rPr>
  </w:style>
  <w:style w:type="paragraph" w:customStyle="1" w:styleId="TfutzaList">
    <w:name w:val="Tfutza List"/>
    <w:basedOn w:val="a"/>
    <w:rPr>
      <w:i/>
      <w:iCs/>
    </w:rPr>
  </w:style>
  <w:style w:type="paragraph" w:customStyle="1" w:styleId="Ruller41">
    <w:name w:val="Ruller4"/>
    <w:basedOn w:val="a"/>
    <w:link w:val="Ruller42"/>
    <w:rsid w:val="00A51FAE"/>
    <w:pPr>
      <w:tabs>
        <w:tab w:val="left" w:pos="800"/>
      </w:tabs>
      <w:spacing w:line="360" w:lineRule="auto"/>
      <w:jc w:val="both"/>
    </w:pPr>
    <w:rPr>
      <w:rFonts w:ascii="Arial TUR" w:hAnsi="Arial TUR" w:cs="FrankRuehl"/>
      <w:spacing w:val="10"/>
      <w:sz w:val="22"/>
      <w:szCs w:val="28"/>
    </w:rPr>
  </w:style>
  <w:style w:type="paragraph" w:customStyle="1" w:styleId="Ruller5">
    <w:name w:val="Ruller5"/>
    <w:basedOn w:val="a"/>
    <w:rsid w:val="00A51FAE"/>
    <w:pPr>
      <w:ind w:left="1642" w:right="1282"/>
      <w:jc w:val="both"/>
    </w:pPr>
    <w:rPr>
      <w:rFonts w:ascii="Arial TUR" w:hAnsi="Arial TUR" w:cs="FrankRuehl"/>
      <w:spacing w:val="10"/>
      <w:sz w:val="22"/>
      <w:szCs w:val="28"/>
    </w:rPr>
  </w:style>
  <w:style w:type="paragraph" w:customStyle="1" w:styleId="Ruller6">
    <w:name w:val="Ruller6"/>
    <w:basedOn w:val="a"/>
    <w:rsid w:val="00A51FAE"/>
    <w:pPr>
      <w:tabs>
        <w:tab w:val="left" w:pos="794"/>
        <w:tab w:val="left" w:pos="2268"/>
        <w:tab w:val="left" w:pos="5783"/>
        <w:tab w:val="left" w:pos="7371"/>
      </w:tabs>
    </w:pPr>
    <w:rPr>
      <w:rFonts w:ascii="Arial TUR" w:hAnsi="Arial TUR" w:cs="DavidFix"/>
      <w:spacing w:val="10"/>
      <w:sz w:val="22"/>
      <w:szCs w:val="20"/>
    </w:rPr>
  </w:style>
  <w:style w:type="character" w:customStyle="1" w:styleId="Delete">
    <w:name w:val="Delete"/>
    <w:rPr>
      <w:strike/>
    </w:rPr>
  </w:style>
  <w:style w:type="paragraph" w:customStyle="1" w:styleId="WriterName">
    <w:name w:val="Writer Name"/>
    <w:basedOn w:val="Ruller41"/>
    <w:next w:val="Ruller41"/>
    <w:rPr>
      <w:rFonts w:cs="David"/>
      <w:b/>
      <w:bCs/>
      <w:u w:val="single"/>
    </w:rPr>
  </w:style>
  <w:style w:type="character" w:customStyle="1" w:styleId="Hand">
    <w:name w:val="Hand"/>
    <w:rPr>
      <w:rFonts w:cs="Guttman Yad"/>
    </w:rPr>
  </w:style>
  <w:style w:type="paragraph" w:styleId="a3">
    <w:name w:val="footer"/>
    <w:basedOn w:val="a"/>
    <w:link w:val="a4"/>
    <w:pPr>
      <w:tabs>
        <w:tab w:val="center" w:pos="4153"/>
        <w:tab w:val="right" w:pos="8306"/>
      </w:tabs>
    </w:pPr>
  </w:style>
  <w:style w:type="character" w:styleId="a5">
    <w:name w:val="page number"/>
    <w:basedOn w:val="a0"/>
  </w:style>
  <w:style w:type="paragraph" w:styleId="a6">
    <w:name w:val="header"/>
    <w:basedOn w:val="a"/>
    <w:link w:val="a7"/>
    <w:pPr>
      <w:tabs>
        <w:tab w:val="center" w:pos="4153"/>
        <w:tab w:val="right" w:pos="8306"/>
      </w:tabs>
    </w:pPr>
  </w:style>
  <w:style w:type="paragraph" w:customStyle="1" w:styleId="2">
    <w:name w:val="ñâðåï2"/>
    <w:basedOn w:val="a"/>
    <w:pPr>
      <w:overflowPunct/>
      <w:textAlignment w:val="auto"/>
    </w:pPr>
    <w:rPr>
      <w:rFonts w:cs="Times New Roman"/>
    </w:rPr>
  </w:style>
  <w:style w:type="paragraph" w:customStyle="1" w:styleId="Casenameintextbody">
    <w:name w:val="Case name in text body"/>
    <w:basedOn w:val="a"/>
    <w:pPr>
      <w:overflowPunct/>
      <w:jc w:val="right"/>
      <w:textAlignment w:val="auto"/>
    </w:pPr>
    <w:rPr>
      <w:rFonts w:cs="Times New Roman"/>
      <w:b/>
      <w:bCs/>
      <w:u w:val="single"/>
    </w:rPr>
  </w:style>
  <w:style w:type="paragraph" w:customStyle="1" w:styleId="precasestyle">
    <w:name w:val="pre_case style"/>
    <w:basedOn w:val="a"/>
    <w:pPr>
      <w:tabs>
        <w:tab w:val="left" w:pos="2552"/>
      </w:tabs>
      <w:overflowPunct/>
      <w:ind w:right="2549"/>
      <w:textAlignment w:val="auto"/>
    </w:pPr>
    <w:rPr>
      <w:rFonts w:cs="Times New Roman"/>
    </w:rPr>
  </w:style>
  <w:style w:type="paragraph" w:customStyle="1" w:styleId="BodyRuller">
    <w:name w:val="Body Ruller"/>
    <w:basedOn w:val="a"/>
    <w:rPr>
      <w:sz w:val="22"/>
      <w:szCs w:val="28"/>
    </w:rPr>
  </w:style>
  <w:style w:type="paragraph" w:customStyle="1" w:styleId="Ruller38">
    <w:name w:val="סגנון Ruller 3 + (מורכב) ‏8 נק"/>
    <w:basedOn w:val="BodyRuller"/>
    <w:rPr>
      <w:szCs w:val="16"/>
    </w:rPr>
  </w:style>
  <w:style w:type="character" w:customStyle="1" w:styleId="Ruller30">
    <w:name w:val="Ruller 3 תו"/>
    <w:rPr>
      <w:rFonts w:cs="FrankRuehl"/>
      <w:sz w:val="22"/>
      <w:szCs w:val="28"/>
      <w:lang w:val="en-US" w:eastAsia="en-US" w:bidi="he-IL"/>
    </w:rPr>
  </w:style>
  <w:style w:type="character" w:customStyle="1" w:styleId="BodyRuller0">
    <w:name w:val="Body Ruller תו"/>
    <w:rPr>
      <w:rFonts w:cs="David"/>
      <w:sz w:val="22"/>
      <w:szCs w:val="28"/>
      <w:lang w:val="en-US" w:eastAsia="en-US" w:bidi="he-IL"/>
    </w:rPr>
  </w:style>
  <w:style w:type="character" w:customStyle="1" w:styleId="Ruller380">
    <w:name w:val="סגנון Ruller 3 + (מורכב) ‏8 נק תו"/>
    <w:rPr>
      <w:rFonts w:cs="David"/>
      <w:sz w:val="22"/>
      <w:szCs w:val="16"/>
      <w:lang w:val="en-US" w:eastAsia="en-US" w:bidi="he-IL"/>
    </w:rPr>
  </w:style>
  <w:style w:type="paragraph" w:customStyle="1" w:styleId="FileNumber0">
    <w:name w:val="סגנון File Number + ימין"/>
    <w:basedOn w:val="FileNumber"/>
    <w:rsid w:val="004C7868"/>
    <w:pPr>
      <w:jc w:val="left"/>
    </w:pPr>
    <w:rPr>
      <w:szCs w:val="28"/>
    </w:rPr>
  </w:style>
  <w:style w:type="paragraph" w:customStyle="1" w:styleId="BODYVERDICT">
    <w:name w:val="BODY VERDICT"/>
    <w:basedOn w:val="a"/>
    <w:rsid w:val="00036227"/>
    <w:rPr>
      <w:rFonts w:cs="FrankRuehl"/>
      <w:spacing w:val="10"/>
      <w:sz w:val="22"/>
      <w:szCs w:val="28"/>
    </w:rPr>
  </w:style>
  <w:style w:type="character" w:styleId="Hyperlink">
    <w:name w:val="Hyperlink"/>
    <w:rsid w:val="003F1F97"/>
    <w:rPr>
      <w:color w:val="0000FF"/>
      <w:u w:val="single"/>
    </w:rPr>
  </w:style>
  <w:style w:type="table" w:styleId="a8">
    <w:name w:val="Table Grid"/>
    <w:basedOn w:val="a1"/>
    <w:rsid w:val="003F1F97"/>
    <w:pPr>
      <w:overflowPunct w:val="0"/>
      <w:autoSpaceDE w:val="0"/>
      <w:autoSpaceDN w:val="0"/>
      <w:bidi/>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a0"/>
    <w:rsid w:val="0058440A"/>
    <w:rPr>
      <w:color w:val="954F72" w:themeColor="followedHyperlink"/>
      <w:u w:val="single"/>
    </w:rPr>
  </w:style>
  <w:style w:type="character" w:styleId="a9">
    <w:name w:val="annotation reference"/>
    <w:basedOn w:val="a0"/>
    <w:rsid w:val="00D00B1D"/>
    <w:rPr>
      <w:sz w:val="16"/>
      <w:szCs w:val="16"/>
    </w:rPr>
  </w:style>
  <w:style w:type="paragraph" w:styleId="aa">
    <w:name w:val="annotation text"/>
    <w:basedOn w:val="a"/>
    <w:link w:val="ab"/>
    <w:rsid w:val="00D00B1D"/>
    <w:rPr>
      <w:szCs w:val="20"/>
    </w:rPr>
  </w:style>
  <w:style w:type="character" w:customStyle="1" w:styleId="ab">
    <w:name w:val="טקסט הערה תו"/>
    <w:basedOn w:val="a0"/>
    <w:link w:val="aa"/>
    <w:rsid w:val="00D00B1D"/>
    <w:rPr>
      <w:rFonts w:cs="David"/>
    </w:rPr>
  </w:style>
  <w:style w:type="paragraph" w:styleId="ac">
    <w:name w:val="annotation subject"/>
    <w:basedOn w:val="aa"/>
    <w:next w:val="aa"/>
    <w:link w:val="ad"/>
    <w:rsid w:val="00D00B1D"/>
    <w:rPr>
      <w:b/>
      <w:bCs/>
    </w:rPr>
  </w:style>
  <w:style w:type="character" w:customStyle="1" w:styleId="ad">
    <w:name w:val="נושא הערה תו"/>
    <w:basedOn w:val="ab"/>
    <w:link w:val="ac"/>
    <w:rsid w:val="00D00B1D"/>
    <w:rPr>
      <w:rFonts w:cs="David"/>
      <w:b/>
      <w:bCs/>
    </w:rPr>
  </w:style>
  <w:style w:type="paragraph" w:styleId="ae">
    <w:name w:val="Balloon Text"/>
    <w:basedOn w:val="a"/>
    <w:link w:val="af"/>
    <w:rsid w:val="00D00B1D"/>
    <w:rPr>
      <w:rFonts w:ascii="Tahoma" w:hAnsi="Tahoma" w:cs="Tahoma"/>
      <w:sz w:val="18"/>
      <w:szCs w:val="18"/>
    </w:rPr>
  </w:style>
  <w:style w:type="character" w:customStyle="1" w:styleId="af">
    <w:name w:val="טקסט בלונים תו"/>
    <w:basedOn w:val="a0"/>
    <w:link w:val="ae"/>
    <w:rsid w:val="00D00B1D"/>
    <w:rPr>
      <w:rFonts w:ascii="Tahoma" w:hAnsi="Tahoma" w:cs="Tahoma"/>
      <w:sz w:val="18"/>
      <w:szCs w:val="18"/>
    </w:rPr>
  </w:style>
  <w:style w:type="character" w:customStyle="1" w:styleId="a4">
    <w:name w:val="כותרת תחתונה תו"/>
    <w:basedOn w:val="a0"/>
    <w:link w:val="a3"/>
    <w:rsid w:val="009757FA"/>
    <w:rPr>
      <w:rFonts w:cs="David"/>
      <w:szCs w:val="24"/>
    </w:rPr>
  </w:style>
  <w:style w:type="character" w:customStyle="1" w:styleId="a7">
    <w:name w:val="כותרת עליונה תו"/>
    <w:basedOn w:val="a0"/>
    <w:link w:val="a6"/>
    <w:rsid w:val="009757FA"/>
    <w:rPr>
      <w:rFonts w:cs="David"/>
      <w:szCs w:val="24"/>
    </w:rPr>
  </w:style>
  <w:style w:type="paragraph" w:customStyle="1" w:styleId="Ruller4">
    <w:name w:val="Ruller 4 ממוספר"/>
    <w:basedOn w:val="Ruller41"/>
    <w:next w:val="Ruller41"/>
    <w:rsid w:val="009757FA"/>
    <w:pPr>
      <w:numPr>
        <w:numId w:val="11"/>
      </w:numPr>
    </w:pPr>
    <w:rPr>
      <w:rFonts w:ascii="Garamond" w:hAnsi="Garamond"/>
      <w:sz w:val="24"/>
    </w:rPr>
  </w:style>
  <w:style w:type="paragraph" w:customStyle="1" w:styleId="Ruller40">
    <w:name w:val="Ruller4 אלפביתי"/>
    <w:basedOn w:val="Ruller41"/>
    <w:next w:val="Ruller41"/>
    <w:rsid w:val="009757FA"/>
    <w:pPr>
      <w:numPr>
        <w:numId w:val="12"/>
      </w:numPr>
    </w:pPr>
  </w:style>
  <w:style w:type="paragraph" w:customStyle="1" w:styleId="ruller43">
    <w:name w:val="ruller4"/>
    <w:basedOn w:val="a"/>
    <w:rsid w:val="009757FA"/>
    <w:pPr>
      <w:overflowPunct/>
      <w:autoSpaceDE/>
      <w:autoSpaceDN/>
      <w:bidi w:val="0"/>
      <w:adjustRightInd/>
      <w:spacing w:before="100" w:beforeAutospacing="1" w:after="100" w:afterAutospacing="1"/>
      <w:textAlignment w:val="auto"/>
    </w:pPr>
    <w:rPr>
      <w:rFonts w:cs="Times New Roman"/>
      <w:sz w:val="24"/>
    </w:rPr>
  </w:style>
  <w:style w:type="character" w:customStyle="1" w:styleId="default">
    <w:name w:val="default"/>
    <w:basedOn w:val="a0"/>
    <w:rsid w:val="009757FA"/>
  </w:style>
  <w:style w:type="paragraph" w:customStyle="1" w:styleId="ruller50">
    <w:name w:val="ruller50"/>
    <w:basedOn w:val="a"/>
    <w:rsid w:val="009757FA"/>
    <w:pPr>
      <w:overflowPunct/>
      <w:autoSpaceDE/>
      <w:autoSpaceDN/>
      <w:bidi w:val="0"/>
      <w:adjustRightInd/>
      <w:spacing w:before="100" w:beforeAutospacing="1" w:after="100" w:afterAutospacing="1"/>
      <w:textAlignment w:val="auto"/>
    </w:pPr>
    <w:rPr>
      <w:rFonts w:cs="Times New Roman"/>
      <w:sz w:val="24"/>
    </w:rPr>
  </w:style>
  <w:style w:type="paragraph" w:customStyle="1" w:styleId="ruller400">
    <w:name w:val="ruller40"/>
    <w:basedOn w:val="a"/>
    <w:rsid w:val="009757FA"/>
    <w:pPr>
      <w:overflowPunct/>
      <w:autoSpaceDE/>
      <w:autoSpaceDN/>
      <w:bidi w:val="0"/>
      <w:adjustRightInd/>
      <w:spacing w:before="100" w:beforeAutospacing="1" w:after="100" w:afterAutospacing="1"/>
      <w:textAlignment w:val="auto"/>
    </w:pPr>
    <w:rPr>
      <w:rFonts w:cs="Times New Roman"/>
      <w:sz w:val="24"/>
    </w:rPr>
  </w:style>
  <w:style w:type="paragraph" w:styleId="af0">
    <w:name w:val="footnote text"/>
    <w:basedOn w:val="a"/>
    <w:link w:val="af1"/>
    <w:unhideWhenUsed/>
    <w:rsid w:val="009757FA"/>
    <w:rPr>
      <w:rFonts w:ascii="Century" w:hAnsi="Century" w:cs="FrankRuehl"/>
      <w:spacing w:val="10"/>
      <w:szCs w:val="20"/>
    </w:rPr>
  </w:style>
  <w:style w:type="character" w:customStyle="1" w:styleId="af1">
    <w:name w:val="טקסט הערת שוליים תו"/>
    <w:basedOn w:val="a0"/>
    <w:link w:val="af0"/>
    <w:rsid w:val="009757FA"/>
    <w:rPr>
      <w:rFonts w:ascii="Century" w:hAnsi="Century" w:cs="FrankRuehl"/>
      <w:spacing w:val="10"/>
    </w:rPr>
  </w:style>
  <w:style w:type="character" w:styleId="af2">
    <w:name w:val="footnote reference"/>
    <w:basedOn w:val="a0"/>
    <w:unhideWhenUsed/>
    <w:rsid w:val="009757FA"/>
    <w:rPr>
      <w:vertAlign w:val="superscript"/>
    </w:rPr>
  </w:style>
  <w:style w:type="paragraph" w:styleId="af3">
    <w:name w:val="Revision"/>
    <w:hidden/>
    <w:uiPriority w:val="99"/>
    <w:semiHidden/>
    <w:rsid w:val="009757FA"/>
    <w:rPr>
      <w:rFonts w:ascii="Century" w:hAnsi="Century" w:cs="FrankRuehl"/>
      <w:spacing w:val="10"/>
      <w:szCs w:val="28"/>
    </w:rPr>
  </w:style>
  <w:style w:type="paragraph" w:styleId="af4">
    <w:name w:val="List Paragraph"/>
    <w:basedOn w:val="a"/>
    <w:uiPriority w:val="34"/>
    <w:qFormat/>
    <w:rsid w:val="008A4DD4"/>
    <w:pPr>
      <w:ind w:left="720"/>
      <w:contextualSpacing/>
    </w:pPr>
  </w:style>
  <w:style w:type="character" w:customStyle="1" w:styleId="Ruller42">
    <w:name w:val="Ruller4 תו"/>
    <w:link w:val="Ruller41"/>
    <w:locked/>
    <w:rsid w:val="009D74B6"/>
    <w:rPr>
      <w:rFonts w:ascii="Arial TUR" w:hAnsi="Arial TUR" w:cs="FrankRuehl"/>
      <w:spacing w:val="10"/>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5499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supreme.court.gov.il/" TargetMode="Externa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6D6F47-3C88-43B8-ADFD-C462A79008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53</Pages>
  <Words>18992</Words>
  <Characters>89232</Characters>
  <Application>Microsoft Office Word</Application>
  <DocSecurity>4</DocSecurity>
  <Lines>743</Lines>
  <Paragraphs>216</Paragraphs>
  <ScaleCrop>false</ScaleCrop>
  <HeadingPairs>
    <vt:vector size="2" baseType="variant">
      <vt:variant>
        <vt:lpstr>שם</vt:lpstr>
      </vt:variant>
      <vt:variant>
        <vt:i4>1</vt:i4>
      </vt:variant>
    </vt:vector>
  </HeadingPairs>
  <TitlesOfParts>
    <vt:vector size="1" baseType="lpstr">
      <vt:lpstr>פסק-דין בתיק ע"פ  5955/22</vt:lpstr>
    </vt:vector>
  </TitlesOfParts>
  <Company>supreme court of israel</Company>
  <LinksUpToDate>false</LinksUpToDate>
  <CharactersWithSpaces>108008</CharactersWithSpaces>
  <SharedDoc>false</SharedDoc>
  <HLinks>
    <vt:vector size="6" baseType="variant">
      <vt:variant>
        <vt:i4>1966158</vt:i4>
      </vt:variant>
      <vt:variant>
        <vt:i4>12</vt:i4>
      </vt:variant>
      <vt:variant>
        <vt:i4>0</vt:i4>
      </vt:variant>
      <vt:variant>
        <vt:i4>5</vt:i4>
      </vt:variant>
      <vt:variant>
        <vt:lpwstr>http://www.court.gov.il/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פסק-דין בתיק ע"פ  5955/22</dc:title>
  <dc:subject/>
  <dc:creator>Administrator</dc:creator>
  <cp:keywords/>
  <dc:description/>
  <cp:lastModifiedBy>מוטי גולן</cp:lastModifiedBy>
  <cp:revision>2</cp:revision>
  <cp:lastPrinted>2023-07-06T11:56:00Z</cp:lastPrinted>
  <dcterms:created xsi:type="dcterms:W3CDTF">2023-07-13T05:58:00Z</dcterms:created>
  <dcterms:modified xsi:type="dcterms:W3CDTF">2023-07-13T05:58:00Z</dcterms:modified>
</cp:coreProperties>
</file>